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tag w:val="NEW_STAND_NAME"/>
        <w:id w:val="595910757"/>
        <w:lock w:val="sdtLocked"/>
        <w:placeholder>
          <w:docPart w:val="{ca171573-4298-4997-8f89-cdeec25a5d58}"/>
        </w:placeholder>
      </w:sdtPr>
      <w:sdtContent>
        <w:p w14:paraId="7CDC239D">
          <w:pPr>
            <w:pStyle w:val="5"/>
            <w:spacing w:before="312" w:beforeLines="100" w:after="686" w:afterLines="220"/>
          </w:pPr>
          <w:bookmarkStart w:id="0" w:name="NEW_STAND_NAME"/>
          <w:r>
            <w:rPr>
              <w:rFonts w:hint="eastAsia"/>
            </w:rPr>
            <w:t>拥军门店服务与管理规范</w:t>
          </w:r>
        </w:p>
      </w:sdtContent>
    </w:sdt>
    <w:bookmarkEnd w:id="0"/>
    <w:p w14:paraId="1731884A">
      <w:pPr>
        <w:pStyle w:val="6"/>
        <w:spacing w:before="312" w:after="312"/>
      </w:pPr>
      <w:bookmarkStart w:id="1" w:name="_Toc26718930"/>
      <w:bookmarkStart w:id="2" w:name="_Toc24884211"/>
      <w:bookmarkStart w:id="3" w:name="_Toc26986771"/>
      <w:bookmarkStart w:id="4" w:name="_Toc26648465"/>
      <w:bookmarkStart w:id="5" w:name="_Toc17233325"/>
      <w:bookmarkStart w:id="6" w:name="_Toc24884218"/>
      <w:bookmarkStart w:id="7" w:name="_Toc26375"/>
      <w:bookmarkStart w:id="8" w:name="_Toc181691861"/>
      <w:bookmarkStart w:id="9" w:name="_Toc26986530"/>
      <w:bookmarkStart w:id="10" w:name="_Toc17233333"/>
      <w:bookmarkStart w:id="11" w:name="_Toc97191423"/>
      <w:r>
        <w:rPr>
          <w:rFonts w:hint="eastAsia"/>
        </w:rPr>
        <w:t>范围</w:t>
      </w:r>
      <w:bookmarkEnd w:id="1"/>
      <w:bookmarkEnd w:id="2"/>
      <w:bookmarkEnd w:id="3"/>
      <w:bookmarkEnd w:id="4"/>
      <w:bookmarkEnd w:id="5"/>
      <w:bookmarkEnd w:id="6"/>
      <w:bookmarkEnd w:id="7"/>
      <w:bookmarkEnd w:id="8"/>
      <w:bookmarkEnd w:id="9"/>
      <w:bookmarkEnd w:id="10"/>
      <w:bookmarkEnd w:id="11"/>
    </w:p>
    <w:p w14:paraId="17F1016D">
      <w:pPr>
        <w:pStyle w:val="7"/>
        <w:ind w:firstLine="420"/>
      </w:pPr>
      <w:bookmarkStart w:id="12" w:name="_Toc26648466"/>
      <w:bookmarkStart w:id="13" w:name="_Toc24884219"/>
      <w:bookmarkStart w:id="14" w:name="_Toc17233326"/>
      <w:bookmarkStart w:id="15" w:name="_Toc24884212"/>
      <w:bookmarkStart w:id="16" w:name="_Toc17233334"/>
      <w:r>
        <w:rPr>
          <w:rFonts w:hint="eastAsia"/>
        </w:rPr>
        <w:t>本文件规定了拥军门店的拥军服务保障、管理与监督等内容。</w:t>
      </w:r>
    </w:p>
    <w:p w14:paraId="7FF18AB9">
      <w:pPr>
        <w:pStyle w:val="7"/>
        <w:ind w:firstLine="420"/>
      </w:pPr>
      <w:r>
        <w:rPr>
          <w:rFonts w:hint="eastAsia"/>
        </w:rPr>
        <w:t>本文件适用于拥军门店服务与管理。</w:t>
      </w:r>
      <w:bookmarkStart w:id="46" w:name="_GoBack"/>
      <w:bookmarkEnd w:id="46"/>
    </w:p>
    <w:p w14:paraId="5CC3D1A2">
      <w:pPr>
        <w:pStyle w:val="6"/>
        <w:spacing w:before="312" w:after="312"/>
      </w:pPr>
      <w:bookmarkStart w:id="17" w:name="_Toc97191424"/>
      <w:bookmarkStart w:id="18" w:name="_Toc181691862"/>
      <w:bookmarkStart w:id="19" w:name="_Toc26986531"/>
      <w:bookmarkStart w:id="20" w:name="_Toc6881"/>
      <w:bookmarkStart w:id="21" w:name="_Toc26718931"/>
      <w:bookmarkStart w:id="22" w:name="_Toc26986772"/>
      <w:r>
        <w:rPr>
          <w:rFonts w:hint="eastAsia"/>
        </w:rPr>
        <w:t>规范性引用文件</w:t>
      </w:r>
      <w:bookmarkEnd w:id="12"/>
      <w:bookmarkEnd w:id="13"/>
      <w:bookmarkEnd w:id="14"/>
      <w:bookmarkEnd w:id="15"/>
      <w:bookmarkEnd w:id="16"/>
      <w:bookmarkEnd w:id="17"/>
      <w:bookmarkEnd w:id="18"/>
      <w:bookmarkEnd w:id="19"/>
      <w:bookmarkEnd w:id="20"/>
      <w:bookmarkEnd w:id="21"/>
      <w:bookmarkEnd w:id="22"/>
    </w:p>
    <w:sdt>
      <w:sdtPr>
        <w:rPr>
          <w:rFonts w:hint="eastAsia"/>
        </w:rPr>
        <w:id w:val="715848253"/>
        <w:placeholder>
          <w:docPart w:val="{c959a419-edf7-474f-b265-fe0a8b008e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0ECE9AA">
          <w:pPr>
            <w:pStyle w:val="7"/>
            <w:ind w:firstLine="420"/>
            <w:rPr>
              <w:rFonts w:hint="eastAsia"/>
            </w:rPr>
          </w:pPr>
          <w:r>
            <w:rPr>
              <w:rFonts w:hint="eastAsia"/>
            </w:rPr>
            <w:t>本文件没有规范性引用文件。</w:t>
          </w:r>
        </w:p>
      </w:sdtContent>
    </w:sdt>
    <w:p w14:paraId="2AFDB0F6">
      <w:pPr>
        <w:pStyle w:val="6"/>
        <w:spacing w:before="312" w:after="312"/>
      </w:pPr>
      <w:bookmarkStart w:id="23" w:name="_Toc7156"/>
      <w:bookmarkStart w:id="24" w:name="_Toc97191425"/>
      <w:bookmarkStart w:id="25" w:name="_Toc181691863"/>
      <w:r>
        <w:rPr>
          <w:rFonts w:hint="eastAsia"/>
          <w:szCs w:val="21"/>
        </w:rPr>
        <w:t>术语和定义</w:t>
      </w:r>
      <w:bookmarkEnd w:id="23"/>
      <w:bookmarkEnd w:id="24"/>
      <w:bookmarkEnd w:id="25"/>
    </w:p>
    <w:sdt>
      <w:sdtPr>
        <w:id w:val="-1909835108"/>
        <w:placeholder>
          <w:docPart w:val="{918a5c29-9e44-4117-89e7-93330bbecd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33E19DF">
          <w:pPr>
            <w:pStyle w:val="7"/>
            <w:ind w:firstLine="420"/>
          </w:pPr>
          <w:bookmarkStart w:id="26" w:name="_Toc26986532"/>
          <w:bookmarkEnd w:id="26"/>
          <w:r>
            <w:rPr>
              <w:rFonts w:hint="eastAsia"/>
            </w:rPr>
            <w:t>下列术语和定义适用于本文件。</w:t>
          </w:r>
        </w:p>
      </w:sdtContent>
    </w:sdt>
    <w:p w14:paraId="5C6E5F86">
      <w:pPr>
        <w:pStyle w:val="8"/>
        <w:ind w:left="420" w:hanging="420" w:hangingChars="200"/>
        <w:rPr>
          <w:rFonts w:ascii="黑体" w:hAnsi="黑体" w:eastAsia="黑体"/>
        </w:rPr>
      </w:pPr>
      <w:r>
        <w:rPr>
          <w:rFonts w:ascii="黑体" w:hAnsi="黑体" w:eastAsia="黑体"/>
        </w:rPr>
        <w:br w:type="textWrapping"/>
      </w:r>
      <w:r>
        <w:rPr>
          <w:rFonts w:ascii="黑体" w:hAnsi="黑体" w:eastAsia="黑体"/>
        </w:rPr>
        <w:t>拥军门店</w:t>
      </w:r>
      <w:r>
        <w:rPr>
          <w:rFonts w:hint="eastAsia" w:ascii="黑体" w:hAnsi="黑体" w:eastAsia="黑体"/>
          <w:highlight w:val="none"/>
        </w:rPr>
        <w:t xml:space="preserve"> </w:t>
      </w:r>
      <w:r>
        <w:rPr>
          <w:rFonts w:ascii="黑体" w:hAnsi="黑体" w:eastAsia="黑体"/>
          <w:highlight w:val="none"/>
        </w:rPr>
        <w:t>military</w:t>
      </w:r>
      <w:r>
        <w:rPr>
          <w:rFonts w:hint="eastAsia" w:ascii="黑体" w:hAnsi="黑体" w:eastAsia="黑体"/>
          <w:highlight w:val="none"/>
          <w:lang w:val="en-US" w:eastAsia="zh-CN"/>
        </w:rPr>
        <w:t>-supporting</w:t>
      </w:r>
      <w:r>
        <w:rPr>
          <w:rFonts w:ascii="黑体" w:hAnsi="黑体" w:eastAsia="黑体"/>
          <w:highlight w:val="none"/>
        </w:rPr>
        <w:t xml:space="preserve"> stores</w:t>
      </w:r>
    </w:p>
    <w:p w14:paraId="7841D8C8">
      <w:pPr>
        <w:pStyle w:val="7"/>
        <w:ind w:firstLine="420"/>
        <w:rPr>
          <w:rFonts w:hint="eastAsia"/>
        </w:rPr>
      </w:pPr>
      <w:r>
        <w:rPr>
          <w:rFonts w:hint="eastAsia"/>
        </w:rPr>
        <w:t>证照齐全、依法经营，具有固定营业场所，自愿为军人等持证优抚对象提供志愿服务，履行拥军优惠承诺，</w:t>
      </w:r>
      <w:r>
        <w:rPr>
          <w:rFonts w:hint="eastAsia"/>
          <w:lang w:eastAsia="zh-CN"/>
        </w:rPr>
        <w:t>接受</w:t>
      </w:r>
      <w:r>
        <w:rPr>
          <w:rFonts w:hint="eastAsia"/>
        </w:rPr>
        <w:t>拥军部门管理的</w:t>
      </w:r>
      <w:r>
        <w:rPr>
          <w:rFonts w:hint="eastAsia"/>
          <w:highlight w:val="none"/>
        </w:rPr>
        <w:t>各类商铺</w:t>
      </w:r>
      <w:r>
        <w:rPr>
          <w:rFonts w:hint="eastAsia"/>
          <w:highlight w:val="none"/>
          <w:lang w:val="en-US" w:eastAsia="zh-CN"/>
        </w:rPr>
        <w:t>门店</w:t>
      </w:r>
      <w:r>
        <w:rPr>
          <w:rFonts w:hint="eastAsia"/>
        </w:rPr>
        <w:t>。</w:t>
      </w:r>
    </w:p>
    <w:p w14:paraId="2CA9B75B">
      <w:pPr>
        <w:pStyle w:val="7"/>
        <w:ind w:firstLine="420"/>
        <w:rPr>
          <w:rFonts w:hint="eastAsia" w:eastAsia="宋体"/>
          <w:lang w:eastAsia="zh-CN"/>
        </w:rPr>
      </w:pPr>
      <w:r>
        <w:rPr>
          <w:rFonts w:hint="eastAsia"/>
          <w:b/>
          <w:bCs/>
          <w:sz w:val="20"/>
          <w:szCs w:val="18"/>
          <w:lang w:eastAsia="zh-CN"/>
        </w:rPr>
        <w:t>注：</w:t>
      </w:r>
      <w:r>
        <w:rPr>
          <w:rFonts w:hint="eastAsia"/>
          <w:sz w:val="20"/>
          <w:szCs w:val="18"/>
        </w:rPr>
        <w:t>优抚对象</w:t>
      </w:r>
      <w:r>
        <w:rPr>
          <w:rFonts w:hint="eastAsia"/>
          <w:sz w:val="20"/>
          <w:szCs w:val="18"/>
          <w:lang w:eastAsia="zh-CN"/>
        </w:rPr>
        <w:t>指中国人民解放军和中国人民武装警察部队现役军人、文职人员、退役军人、“三属”（烈士遗属、因公牺牲军人遗属、病故军人遗属）等。</w:t>
      </w:r>
    </w:p>
    <w:p w14:paraId="6718FF40">
      <w:pPr>
        <w:pStyle w:val="6"/>
        <w:spacing w:before="312" w:after="312"/>
      </w:pPr>
      <w:bookmarkStart w:id="27" w:name="_Toc181691864"/>
      <w:bookmarkStart w:id="28" w:name="_Toc30534"/>
      <w:r>
        <w:rPr>
          <w:rFonts w:hint="eastAsia"/>
        </w:rPr>
        <w:t>拥军服务保障</w:t>
      </w:r>
      <w:bookmarkEnd w:id="27"/>
      <w:bookmarkEnd w:id="28"/>
    </w:p>
    <w:p w14:paraId="7BA31836">
      <w:pPr>
        <w:pStyle w:val="10"/>
        <w:spacing w:before="156" w:after="156"/>
      </w:pPr>
      <w:bookmarkStart w:id="29" w:name="_Toc181691866"/>
      <w:r>
        <w:rPr>
          <w:rFonts w:hint="eastAsia"/>
        </w:rPr>
        <w:t>基本要求</w:t>
      </w:r>
      <w:bookmarkEnd w:id="29"/>
    </w:p>
    <w:p w14:paraId="50F8794B">
      <w:pPr>
        <w:pStyle w:val="7"/>
        <w:ind w:firstLine="420"/>
        <w:rPr>
          <w:highlight w:val="none"/>
        </w:rPr>
      </w:pPr>
      <w:r>
        <w:rPr>
          <w:rFonts w:hint="eastAsia"/>
          <w:highlight w:val="none"/>
        </w:rPr>
        <w:t>拥军门店应符合以下基本要求：</w:t>
      </w:r>
    </w:p>
    <w:p w14:paraId="571F70F3">
      <w:pPr>
        <w:pStyle w:val="11"/>
        <w:rPr>
          <w:highlight w:val="none"/>
        </w:rPr>
      </w:pPr>
      <w:r>
        <w:rPr>
          <w:rFonts w:hint="eastAsia"/>
          <w:highlight w:val="none"/>
        </w:rPr>
        <w:t>各类证照齐全、依法经营；</w:t>
      </w:r>
    </w:p>
    <w:p w14:paraId="5AC57E86">
      <w:pPr>
        <w:pStyle w:val="11"/>
        <w:rPr>
          <w:highlight w:val="none"/>
        </w:rPr>
      </w:pPr>
      <w:r>
        <w:rPr>
          <w:rFonts w:hint="eastAsia"/>
          <w:highlight w:val="none"/>
        </w:rPr>
        <w:t>面向服务对象提供优先优惠服务；</w:t>
      </w:r>
    </w:p>
    <w:p w14:paraId="61599AD9">
      <w:pPr>
        <w:pStyle w:val="11"/>
        <w:rPr>
          <w:highlight w:val="none"/>
        </w:rPr>
      </w:pPr>
      <w:r>
        <w:rPr>
          <w:rFonts w:hint="eastAsia"/>
          <w:highlight w:val="none"/>
        </w:rPr>
        <w:t>履行拥军优惠承诺，接受拥军门店所在地退役军人事务局管理；</w:t>
      </w:r>
    </w:p>
    <w:p w14:paraId="5AC20442">
      <w:pPr>
        <w:pStyle w:val="11"/>
        <w:rPr>
          <w:highlight w:val="none"/>
        </w:rPr>
      </w:pPr>
      <w:r>
        <w:rPr>
          <w:rFonts w:hint="eastAsia"/>
          <w:highlight w:val="none"/>
        </w:rPr>
        <w:t>参与拥军公益活动；</w:t>
      </w:r>
    </w:p>
    <w:p w14:paraId="42A6F437">
      <w:pPr>
        <w:pStyle w:val="11"/>
        <w:rPr>
          <w:highlight w:val="none"/>
        </w:rPr>
      </w:pPr>
      <w:r>
        <w:rPr>
          <w:rFonts w:hint="eastAsia"/>
          <w:highlight w:val="none"/>
        </w:rPr>
        <w:t>参与拥军门店考核、评比、表彰、宣传、推广等管理服务工作；</w:t>
      </w:r>
    </w:p>
    <w:p w14:paraId="249F695C">
      <w:pPr>
        <w:pStyle w:val="11"/>
      </w:pPr>
      <w:r>
        <w:rPr>
          <w:rFonts w:hint="eastAsia"/>
          <w:highlight w:val="none"/>
        </w:rPr>
        <w:t>建立管理制度，明确岗位职责、服务流程、服务质量控制、意见反馈、信息交流等。</w:t>
      </w:r>
    </w:p>
    <w:p w14:paraId="02FC5256">
      <w:pPr>
        <w:pStyle w:val="10"/>
        <w:spacing w:before="156" w:after="156"/>
      </w:pPr>
      <w:bookmarkStart w:id="30" w:name="_Toc181691867"/>
      <w:r>
        <w:rPr>
          <w:rFonts w:hint="eastAsia"/>
        </w:rPr>
        <w:t>服务要求</w:t>
      </w:r>
      <w:bookmarkEnd w:id="30"/>
    </w:p>
    <w:p w14:paraId="341D8465">
      <w:pPr>
        <w:pStyle w:val="12"/>
        <w:spacing w:before="156" w:after="156"/>
      </w:pPr>
      <w:r>
        <w:rPr>
          <w:rFonts w:hint="eastAsia"/>
        </w:rPr>
        <w:t>咨询服务</w:t>
      </w:r>
    </w:p>
    <w:p w14:paraId="7D02095A">
      <w:pPr>
        <w:pStyle w:val="7"/>
        <w:ind w:firstLine="420"/>
      </w:pPr>
      <w:r>
        <w:rPr>
          <w:rFonts w:hint="eastAsia"/>
        </w:rPr>
        <w:t>应认真听取并记录</w:t>
      </w:r>
      <w:r>
        <w:rPr>
          <w:rFonts w:hint="eastAsia"/>
          <w:lang w:val="en-US" w:eastAsia="zh-CN"/>
        </w:rPr>
        <w:t>优抚</w:t>
      </w:r>
      <w:r>
        <w:rPr>
          <w:rFonts w:hint="eastAsia"/>
        </w:rPr>
        <w:t>对象需求信息，提供拥军门店服务宗旨、服务</w:t>
      </w:r>
      <w:r>
        <w:rPr>
          <w:rFonts w:hint="eastAsia"/>
          <w:lang w:eastAsia="zh-CN"/>
        </w:rPr>
        <w:t>内容</w:t>
      </w:r>
      <w:r>
        <w:rPr>
          <w:rFonts w:hint="eastAsia"/>
        </w:rPr>
        <w:t>、服务流程或其他需求</w:t>
      </w:r>
      <w:r>
        <w:rPr>
          <w:rFonts w:hint="eastAsia"/>
          <w:lang w:eastAsia="zh-CN"/>
        </w:rPr>
        <w:t>的</w:t>
      </w:r>
      <w:r>
        <w:rPr>
          <w:rFonts w:hint="eastAsia"/>
        </w:rPr>
        <w:t>解释答疑服务。</w:t>
      </w:r>
    </w:p>
    <w:p w14:paraId="0B6CC38C">
      <w:pPr>
        <w:pStyle w:val="12"/>
        <w:spacing w:before="156" w:after="156"/>
      </w:pPr>
      <w:r>
        <w:rPr>
          <w:rFonts w:hint="eastAsia"/>
        </w:rPr>
        <w:t>介绍服务</w:t>
      </w:r>
    </w:p>
    <w:p w14:paraId="48EF93A1">
      <w:pPr>
        <w:pStyle w:val="7"/>
        <w:ind w:firstLine="420"/>
      </w:pPr>
      <w:r>
        <w:rPr>
          <w:rFonts w:hint="eastAsia"/>
        </w:rPr>
        <w:t>应</w:t>
      </w:r>
      <w:r>
        <w:rPr>
          <w:rFonts w:hint="eastAsia"/>
          <w:lang w:eastAsia="zh-CN"/>
        </w:rPr>
        <w:t>向</w:t>
      </w:r>
      <w:r>
        <w:rPr>
          <w:rFonts w:hint="eastAsia"/>
          <w:lang w:val="en-US" w:eastAsia="zh-CN"/>
        </w:rPr>
        <w:t>优抚</w:t>
      </w:r>
      <w:r>
        <w:rPr>
          <w:rFonts w:hint="eastAsia"/>
        </w:rPr>
        <w:t>对象介绍本门店拥军文化、拥军承诺、拥军优惠、服务流程等信息；</w:t>
      </w:r>
      <w:r>
        <w:rPr>
          <w:rFonts w:hint="eastAsia"/>
          <w:lang w:eastAsia="zh-CN"/>
        </w:rPr>
        <w:t>可</w:t>
      </w:r>
      <w:r>
        <w:rPr>
          <w:rFonts w:hint="eastAsia"/>
        </w:rPr>
        <w:t>基于服务对象需求，为其推荐相应产品或服务，并进行详细介绍、综合对比，分析优劣。</w:t>
      </w:r>
    </w:p>
    <w:p w14:paraId="175201AF">
      <w:pPr>
        <w:pStyle w:val="12"/>
        <w:spacing w:before="156" w:after="156"/>
      </w:pPr>
      <w:r>
        <w:rPr>
          <w:rFonts w:hint="eastAsia"/>
        </w:rPr>
        <w:t>信息登记服务</w:t>
      </w:r>
    </w:p>
    <w:p w14:paraId="570CD87D">
      <w:pPr>
        <w:pStyle w:val="7"/>
        <w:ind w:firstLine="420"/>
        <w:rPr>
          <w:rFonts w:hint="eastAsia" w:eastAsia="宋体"/>
          <w:lang w:eastAsia="zh-CN"/>
        </w:rPr>
      </w:pPr>
      <w:r>
        <w:rPr>
          <w:rFonts w:hint="eastAsia"/>
        </w:rPr>
        <w:t>在尊重</w:t>
      </w:r>
      <w:r>
        <w:rPr>
          <w:rFonts w:hint="eastAsia"/>
          <w:lang w:val="en-US" w:eastAsia="zh-CN"/>
        </w:rPr>
        <w:t>优抚</w:t>
      </w:r>
      <w:r>
        <w:rPr>
          <w:rFonts w:hint="eastAsia"/>
        </w:rPr>
        <w:t>对象意愿的基础上，依据拥军优惠服务信息登记表进行登记，并告知</w:t>
      </w:r>
      <w:r>
        <w:rPr>
          <w:rFonts w:hint="eastAsia"/>
          <w:lang w:val="en-US" w:eastAsia="zh-CN"/>
        </w:rPr>
        <w:t>优抚</w:t>
      </w:r>
      <w:r>
        <w:rPr>
          <w:rFonts w:hint="eastAsia"/>
        </w:rPr>
        <w:t>对象信息登记目的及保密性等信息。</w:t>
      </w:r>
      <w:r>
        <w:rPr>
          <w:rFonts w:hint="eastAsia"/>
          <w:highlight w:val="none"/>
          <w:lang w:eastAsia="zh-CN"/>
        </w:rPr>
        <w:t>拥军优惠服务信息登记表见附录A.1。</w:t>
      </w:r>
    </w:p>
    <w:p w14:paraId="1D022A97">
      <w:pPr>
        <w:pStyle w:val="12"/>
        <w:spacing w:before="156" w:after="156"/>
      </w:pPr>
      <w:r>
        <w:rPr>
          <w:rFonts w:hint="eastAsia"/>
        </w:rPr>
        <w:t>意见反馈服务</w:t>
      </w:r>
    </w:p>
    <w:p w14:paraId="0C6F1B55">
      <w:pPr>
        <w:pStyle w:val="7"/>
        <w:ind w:firstLine="420"/>
      </w:pPr>
      <w:r>
        <w:rPr>
          <w:rFonts w:hint="eastAsia"/>
          <w:lang w:val="en-US" w:eastAsia="zh-CN"/>
        </w:rPr>
        <w:t>可通过现场询问、APP</w:t>
      </w:r>
      <w:r>
        <w:rPr>
          <w:rFonts w:hint="eastAsia"/>
          <w:lang w:eastAsia="zh-CN"/>
        </w:rPr>
        <w:t>、</w:t>
      </w:r>
      <w:r>
        <w:rPr>
          <w:rFonts w:hint="eastAsia"/>
          <w:lang w:val="en-US" w:eastAsia="zh-CN"/>
        </w:rPr>
        <w:t>微信小程序、</w:t>
      </w:r>
      <w:r>
        <w:rPr>
          <w:rFonts w:hint="eastAsia"/>
        </w:rPr>
        <w:t>意见收集箱</w:t>
      </w:r>
      <w:r>
        <w:rPr>
          <w:rFonts w:hint="eastAsia"/>
          <w:lang w:val="en-US" w:eastAsia="zh-CN"/>
        </w:rPr>
        <w:t>等方式</w:t>
      </w:r>
      <w:r>
        <w:rPr>
          <w:rFonts w:hint="eastAsia"/>
        </w:rPr>
        <w:t>，</w:t>
      </w:r>
      <w:r>
        <w:rPr>
          <w:rFonts w:hint="eastAsia"/>
          <w:lang w:val="en-US" w:eastAsia="zh-CN"/>
        </w:rPr>
        <w:t>不</w:t>
      </w:r>
      <w:r>
        <w:rPr>
          <w:rFonts w:hint="eastAsia"/>
        </w:rPr>
        <w:t>定期搜集意见建议，</w:t>
      </w:r>
      <w:r>
        <w:rPr>
          <w:rFonts w:hint="eastAsia"/>
          <w:lang w:val="en-US" w:eastAsia="zh-CN"/>
        </w:rPr>
        <w:t>应</w:t>
      </w:r>
      <w:r>
        <w:rPr>
          <w:rFonts w:hint="eastAsia"/>
        </w:rPr>
        <w:t>采纳合理建议，并及时进行反馈。</w:t>
      </w:r>
    </w:p>
    <w:p w14:paraId="099C558A">
      <w:pPr>
        <w:pStyle w:val="12"/>
        <w:spacing w:before="156" w:after="156"/>
      </w:pPr>
      <w:r>
        <w:rPr>
          <w:rFonts w:hint="eastAsia"/>
        </w:rPr>
        <w:t>告知服务</w:t>
      </w:r>
    </w:p>
    <w:p w14:paraId="72928521">
      <w:pPr>
        <w:pStyle w:val="7"/>
        <w:ind w:firstLine="420"/>
      </w:pPr>
      <w:r>
        <w:rPr>
          <w:rFonts w:hint="eastAsia"/>
        </w:rPr>
        <w:t>应在拥军门店明显位置张贴或悬挂相关的海报、条幅</w:t>
      </w:r>
      <w:r>
        <w:rPr>
          <w:rFonts w:hint="eastAsia"/>
          <w:lang w:eastAsia="zh-CN"/>
        </w:rPr>
        <w:t>、</w:t>
      </w:r>
      <w:r>
        <w:rPr>
          <w:rFonts w:hint="eastAsia"/>
          <w:lang w:val="en-US" w:eastAsia="zh-CN"/>
        </w:rPr>
        <w:t>字样</w:t>
      </w:r>
      <w:r>
        <w:rPr>
          <w:rFonts w:hint="eastAsia"/>
        </w:rPr>
        <w:t>等，及时告知</w:t>
      </w:r>
      <w:r>
        <w:rPr>
          <w:rFonts w:hint="eastAsia"/>
          <w:lang w:val="en-US" w:eastAsia="zh-CN"/>
        </w:rPr>
        <w:t>优抚</w:t>
      </w:r>
      <w:r>
        <w:rPr>
          <w:rFonts w:hint="eastAsia"/>
        </w:rPr>
        <w:t>对象拥军门店最新活动等内容</w:t>
      </w:r>
      <w:r>
        <w:rPr>
          <w:rFonts w:hint="eastAsia"/>
          <w:lang w:eastAsia="zh-CN"/>
        </w:rPr>
        <w:t>；</w:t>
      </w:r>
      <w:r>
        <w:rPr>
          <w:rFonts w:hint="eastAsia"/>
          <w:lang w:val="en-US" w:eastAsia="zh-CN"/>
        </w:rPr>
        <w:t>也应在门店醒目位置张贴投诉监督方式，自愿接受优抚对象监督</w:t>
      </w:r>
      <w:r>
        <w:rPr>
          <w:rFonts w:hint="eastAsia"/>
        </w:rPr>
        <w:t>。</w:t>
      </w:r>
    </w:p>
    <w:p w14:paraId="42F49B7B">
      <w:pPr>
        <w:pStyle w:val="10"/>
        <w:spacing w:before="156" w:after="156"/>
      </w:pPr>
      <w:bookmarkStart w:id="31" w:name="_Toc181691868"/>
      <w:r>
        <w:rPr>
          <w:rFonts w:hint="eastAsia"/>
        </w:rPr>
        <w:t>人员与职责</w:t>
      </w:r>
      <w:bookmarkEnd w:id="31"/>
    </w:p>
    <w:p w14:paraId="496383DC">
      <w:pPr>
        <w:pStyle w:val="12"/>
        <w:spacing w:before="156" w:after="156"/>
      </w:pPr>
      <w:r>
        <w:rPr>
          <w:rFonts w:hint="eastAsia"/>
        </w:rPr>
        <w:t>人员</w:t>
      </w:r>
    </w:p>
    <w:p w14:paraId="0DE5051E">
      <w:pPr>
        <w:pStyle w:val="13"/>
        <w:spacing w:before="156" w:after="156"/>
      </w:pPr>
      <w:r>
        <w:rPr>
          <w:rFonts w:hint="eastAsia"/>
        </w:rPr>
        <w:t>仪容仪表</w:t>
      </w:r>
    </w:p>
    <w:p w14:paraId="6C546BB8">
      <w:pPr>
        <w:pStyle w:val="7"/>
        <w:ind w:firstLine="420"/>
      </w:pPr>
      <w:r>
        <w:rPr>
          <w:rFonts w:hint="eastAsia"/>
        </w:rPr>
        <w:t>拥军门店从事人员</w:t>
      </w:r>
      <w:r>
        <w:rPr>
          <w:rFonts w:hint="eastAsia"/>
          <w:lang w:val="en-US" w:eastAsia="zh-CN"/>
        </w:rPr>
        <w:t>应</w:t>
      </w:r>
      <w:r>
        <w:rPr>
          <w:rFonts w:hint="eastAsia"/>
        </w:rPr>
        <w:t>着装整洁，</w:t>
      </w:r>
      <w:r>
        <w:rPr>
          <w:rFonts w:hint="eastAsia"/>
          <w:lang w:val="en-US" w:eastAsia="zh-CN"/>
        </w:rPr>
        <w:t>可</w:t>
      </w:r>
      <w:r>
        <w:rPr>
          <w:rFonts w:hint="eastAsia"/>
        </w:rPr>
        <w:t>定制统一的员工制服。应热情</w:t>
      </w:r>
      <w:r>
        <w:rPr>
          <w:rFonts w:hint="eastAsia"/>
          <w:lang w:val="en-US" w:eastAsia="zh-CN"/>
        </w:rPr>
        <w:t>服务</w:t>
      </w:r>
      <w:r>
        <w:rPr>
          <w:rFonts w:hint="eastAsia"/>
        </w:rPr>
        <w:t>周到、文明用语、举止得体，宜使用普通话，不</w:t>
      </w:r>
      <w:r>
        <w:rPr>
          <w:rFonts w:hint="eastAsia"/>
          <w:lang w:val="en-US" w:eastAsia="zh-CN"/>
        </w:rPr>
        <w:t>应</w:t>
      </w:r>
      <w:r>
        <w:rPr>
          <w:rFonts w:hint="eastAsia"/>
        </w:rPr>
        <w:t>出现影响拥军门店形象的行为。</w:t>
      </w:r>
    </w:p>
    <w:p w14:paraId="5B3C6BEC">
      <w:pPr>
        <w:pStyle w:val="13"/>
        <w:spacing w:before="156" w:after="156"/>
      </w:pPr>
      <w:r>
        <w:rPr>
          <w:rFonts w:hint="eastAsia"/>
        </w:rPr>
        <w:t>人员配置</w:t>
      </w:r>
    </w:p>
    <w:p w14:paraId="264EBD4F">
      <w:pPr>
        <w:pStyle w:val="7"/>
        <w:ind w:firstLine="420"/>
      </w:pPr>
      <w:r>
        <w:rPr>
          <w:rFonts w:hint="eastAsia"/>
        </w:rPr>
        <w:t>拥军门店应设置管理人员和服务人员，若门店较小或人员不足，管理人员和服务人员可由一人兼任。</w:t>
      </w:r>
    </w:p>
    <w:p w14:paraId="64861A40">
      <w:pPr>
        <w:pStyle w:val="12"/>
        <w:spacing w:before="156" w:after="156"/>
      </w:pPr>
      <w:r>
        <w:rPr>
          <w:rFonts w:hint="eastAsia"/>
        </w:rPr>
        <w:t>职责</w:t>
      </w:r>
    </w:p>
    <w:p w14:paraId="0CE52796">
      <w:pPr>
        <w:pStyle w:val="13"/>
        <w:spacing w:before="156" w:after="156"/>
      </w:pPr>
      <w:r>
        <w:rPr>
          <w:rFonts w:hint="eastAsia"/>
        </w:rPr>
        <w:t>管理人员职责要求</w:t>
      </w:r>
    </w:p>
    <w:p w14:paraId="2DD6FA5B">
      <w:pPr>
        <w:pStyle w:val="7"/>
        <w:ind w:firstLine="420"/>
      </w:pPr>
      <w:r>
        <w:rPr>
          <w:rFonts w:hint="eastAsia"/>
        </w:rPr>
        <w:t>管理人员主要负责拥军服务管理，职责主要包括：</w:t>
      </w:r>
    </w:p>
    <w:p w14:paraId="425BF846">
      <w:pPr>
        <w:pStyle w:val="11"/>
        <w:numPr>
          <w:ilvl w:val="0"/>
          <w:numId w:val="6"/>
        </w:numPr>
      </w:pPr>
      <w:r>
        <w:rPr>
          <w:rFonts w:hint="eastAsia"/>
        </w:rPr>
        <w:t>确保本门店的拥军服务流程、服务质量、信息收集及存档等符合拥军承诺；</w:t>
      </w:r>
    </w:p>
    <w:p w14:paraId="46C4B77A">
      <w:pPr>
        <w:pStyle w:val="11"/>
        <w:numPr>
          <w:ilvl w:val="0"/>
          <w:numId w:val="6"/>
        </w:numPr>
      </w:pPr>
      <w:r>
        <w:rPr>
          <w:rFonts w:hint="eastAsia"/>
        </w:rPr>
        <w:t>与所在地区拥军服务管理部门对接，及时了解相关政策、法规、活动等，并做好信息转达；</w:t>
      </w:r>
    </w:p>
    <w:p w14:paraId="79B82251">
      <w:pPr>
        <w:pStyle w:val="11"/>
        <w:numPr>
          <w:ilvl w:val="0"/>
          <w:numId w:val="6"/>
        </w:numPr>
      </w:pPr>
      <w:r>
        <w:rPr>
          <w:rFonts w:hint="eastAsia"/>
        </w:rPr>
        <w:t>与所在地区其他拥军门店对接，做好拥军服务相关信息沟通；</w:t>
      </w:r>
    </w:p>
    <w:p w14:paraId="0CEA6AEA">
      <w:pPr>
        <w:pStyle w:val="11"/>
        <w:numPr>
          <w:ilvl w:val="0"/>
          <w:numId w:val="6"/>
        </w:numPr>
      </w:pPr>
      <w:r>
        <w:rPr>
          <w:rFonts w:hint="eastAsia"/>
        </w:rPr>
        <w:t>配合并协助所在地区拥军管理部门开展拥军优属活动；</w:t>
      </w:r>
    </w:p>
    <w:p w14:paraId="526491AD">
      <w:pPr>
        <w:pStyle w:val="11"/>
        <w:numPr>
          <w:ilvl w:val="0"/>
          <w:numId w:val="6"/>
        </w:numPr>
      </w:pPr>
      <w:r>
        <w:rPr>
          <w:rFonts w:hint="eastAsia"/>
          <w:lang w:val="en-US" w:eastAsia="zh-CN"/>
        </w:rPr>
        <w:t>做好服务改进自查，</w:t>
      </w:r>
      <w:r>
        <w:rPr>
          <w:rFonts w:hint="eastAsia"/>
        </w:rPr>
        <w:t>参与所在地区拥军门店考核评比；</w:t>
      </w:r>
    </w:p>
    <w:p w14:paraId="02449658">
      <w:pPr>
        <w:pStyle w:val="11"/>
        <w:numPr>
          <w:ilvl w:val="0"/>
          <w:numId w:val="6"/>
        </w:numPr>
      </w:pPr>
      <w:r>
        <w:rPr>
          <w:rFonts w:hint="eastAsia"/>
        </w:rPr>
        <w:t>拥军门店名称、经营范围、位置信息、优惠项目等要素有效衔接融合安徽老兵APP信息系统；</w:t>
      </w:r>
    </w:p>
    <w:p w14:paraId="5680001A">
      <w:pPr>
        <w:pStyle w:val="11"/>
        <w:numPr>
          <w:ilvl w:val="0"/>
          <w:numId w:val="6"/>
        </w:numPr>
      </w:pPr>
      <w:r>
        <w:rPr>
          <w:rFonts w:hint="eastAsia"/>
        </w:rPr>
        <w:t>定期组织本门店服务人员学习拥军文化、业务培训等。</w:t>
      </w:r>
    </w:p>
    <w:p w14:paraId="4F0E3A87">
      <w:pPr>
        <w:pStyle w:val="13"/>
        <w:spacing w:before="156" w:after="156"/>
      </w:pPr>
      <w:r>
        <w:rPr>
          <w:rFonts w:hint="eastAsia"/>
        </w:rPr>
        <w:t>服务人员职责要求</w:t>
      </w:r>
    </w:p>
    <w:p w14:paraId="171621E8">
      <w:pPr>
        <w:pStyle w:val="7"/>
        <w:ind w:firstLine="420"/>
      </w:pPr>
      <w:r>
        <w:rPr>
          <w:rFonts w:hint="eastAsia"/>
        </w:rPr>
        <w:t>服务人员应向</w:t>
      </w:r>
      <w:r>
        <w:rPr>
          <w:rFonts w:hint="eastAsia"/>
          <w:lang w:val="en-US" w:eastAsia="zh-CN"/>
        </w:rPr>
        <w:t>优抚</w:t>
      </w:r>
      <w:r>
        <w:rPr>
          <w:rFonts w:hint="eastAsia"/>
        </w:rPr>
        <w:t>对象提供拥军服务，职责主要包括：</w:t>
      </w:r>
    </w:p>
    <w:p w14:paraId="52AC235F">
      <w:pPr>
        <w:pStyle w:val="11"/>
        <w:numPr>
          <w:ilvl w:val="0"/>
          <w:numId w:val="7"/>
        </w:numPr>
      </w:pPr>
      <w:r>
        <w:rPr>
          <w:rFonts w:hint="eastAsia"/>
        </w:rPr>
        <w:t>介绍本店拥军文化、拥军承诺、拥军优惠等；</w:t>
      </w:r>
    </w:p>
    <w:p w14:paraId="38A275F9">
      <w:pPr>
        <w:pStyle w:val="11"/>
        <w:numPr>
          <w:ilvl w:val="0"/>
          <w:numId w:val="7"/>
        </w:numPr>
      </w:pPr>
      <w:r>
        <w:rPr>
          <w:rFonts w:hint="eastAsia"/>
        </w:rPr>
        <w:t>提供咨询服务，介绍拥军优惠流程，所需证件等；</w:t>
      </w:r>
    </w:p>
    <w:p w14:paraId="3BAC4E98">
      <w:pPr>
        <w:pStyle w:val="11"/>
        <w:numPr>
          <w:ilvl w:val="0"/>
          <w:numId w:val="7"/>
        </w:numPr>
      </w:pPr>
      <w:r>
        <w:rPr>
          <w:rFonts w:hint="eastAsia"/>
        </w:rPr>
        <w:t>做好拥军优惠服务信息登记统计；</w:t>
      </w:r>
    </w:p>
    <w:p w14:paraId="604A3BDD">
      <w:pPr>
        <w:pStyle w:val="11"/>
        <w:numPr>
          <w:ilvl w:val="0"/>
          <w:numId w:val="7"/>
        </w:numPr>
      </w:pPr>
      <w:r>
        <w:rPr>
          <w:rFonts w:hint="eastAsia"/>
        </w:rPr>
        <w:t>对拥军优惠服务信息登记表内信息做好保密，防止信息泄露；</w:t>
      </w:r>
    </w:p>
    <w:p w14:paraId="2AD2CC2F">
      <w:pPr>
        <w:pStyle w:val="11"/>
        <w:numPr>
          <w:ilvl w:val="0"/>
          <w:numId w:val="7"/>
        </w:numPr>
      </w:pPr>
      <w:r>
        <w:rPr>
          <w:rFonts w:hint="eastAsia"/>
        </w:rPr>
        <w:t>对享受拥军优惠人员提供全程服务，如需求询问、产品推介、功能介绍、产品对比等；</w:t>
      </w:r>
    </w:p>
    <w:p w14:paraId="28584FB2">
      <w:pPr>
        <w:pStyle w:val="11"/>
        <w:numPr>
          <w:ilvl w:val="0"/>
          <w:numId w:val="7"/>
        </w:numPr>
      </w:pPr>
      <w:r>
        <w:rPr>
          <w:rFonts w:hint="eastAsia"/>
        </w:rPr>
        <w:t>做好拥军优惠人员消费体验搜集，对反馈的相关建议进行整理，并向拥军管理部门汇报；</w:t>
      </w:r>
    </w:p>
    <w:p w14:paraId="12F92E4F">
      <w:pPr>
        <w:pStyle w:val="11"/>
        <w:numPr>
          <w:ilvl w:val="0"/>
          <w:numId w:val="7"/>
        </w:numPr>
      </w:pPr>
      <w:r>
        <w:rPr>
          <w:rFonts w:hint="eastAsia"/>
        </w:rPr>
        <w:t>配合管理人员做好拥军活动准备，如氛围营造、环境装饰、材料准备等；</w:t>
      </w:r>
    </w:p>
    <w:p w14:paraId="777D3F54">
      <w:pPr>
        <w:pStyle w:val="11"/>
        <w:numPr>
          <w:ilvl w:val="0"/>
          <w:numId w:val="7"/>
        </w:numPr>
      </w:pPr>
      <w:r>
        <w:rPr>
          <w:rFonts w:hint="eastAsia"/>
        </w:rPr>
        <w:t>参与管理人员组织的拥军文化宣传、业务培训等。</w:t>
      </w:r>
    </w:p>
    <w:p w14:paraId="13DBF8D4">
      <w:pPr>
        <w:pStyle w:val="10"/>
        <w:spacing w:before="156" w:after="156"/>
      </w:pPr>
      <w:bookmarkStart w:id="32" w:name="_Toc181691869"/>
      <w:r>
        <w:rPr>
          <w:rFonts w:hint="eastAsia"/>
        </w:rPr>
        <w:t>评价与改进</w:t>
      </w:r>
      <w:bookmarkEnd w:id="32"/>
    </w:p>
    <w:p w14:paraId="6CBF4506">
      <w:pPr>
        <w:pStyle w:val="12"/>
        <w:spacing w:before="156" w:after="156"/>
      </w:pPr>
      <w:r>
        <w:rPr>
          <w:rFonts w:hint="eastAsia"/>
        </w:rPr>
        <w:t>服务评价途径</w:t>
      </w:r>
    </w:p>
    <w:p w14:paraId="57A9EA33">
      <w:pPr>
        <w:pStyle w:val="7"/>
        <w:ind w:firstLine="420"/>
      </w:pPr>
      <w:r>
        <w:rPr>
          <w:rFonts w:hint="eastAsia"/>
        </w:rPr>
        <w:t>服务评价途径包括不限于：</w:t>
      </w:r>
    </w:p>
    <w:p w14:paraId="1B27AC37">
      <w:pPr>
        <w:pStyle w:val="11"/>
        <w:numPr>
          <w:ilvl w:val="0"/>
          <w:numId w:val="8"/>
        </w:numPr>
      </w:pPr>
      <w:r>
        <w:rPr>
          <w:rFonts w:hint="eastAsia"/>
        </w:rPr>
        <w:t>查阅留言本</w:t>
      </w:r>
      <w:r>
        <w:rPr>
          <w:rFonts w:hint="eastAsia"/>
          <w:lang w:eastAsia="zh-CN"/>
        </w:rPr>
        <w:t>、</w:t>
      </w:r>
      <w:r>
        <w:rPr>
          <w:rFonts w:hint="eastAsia"/>
          <w:lang w:val="en-US" w:eastAsia="zh-CN"/>
        </w:rPr>
        <w:t>拥军优惠服务信息登记表</w:t>
      </w:r>
      <w:r>
        <w:rPr>
          <w:rFonts w:hint="eastAsia"/>
        </w:rPr>
        <w:t>；</w:t>
      </w:r>
    </w:p>
    <w:p w14:paraId="21614EBB">
      <w:pPr>
        <w:pStyle w:val="11"/>
        <w:numPr>
          <w:ilvl w:val="0"/>
          <w:numId w:val="8"/>
        </w:numPr>
      </w:pPr>
      <w:r>
        <w:rPr>
          <w:rFonts w:hint="eastAsia"/>
        </w:rPr>
        <w:t>通过电话、微信</w:t>
      </w:r>
      <w:r>
        <w:rPr>
          <w:rFonts w:hint="eastAsia"/>
          <w:lang w:eastAsia="zh-CN"/>
        </w:rPr>
        <w:t>、</w:t>
      </w:r>
      <w:r>
        <w:rPr>
          <w:rFonts w:hint="eastAsia"/>
          <w:lang w:val="en-US" w:eastAsia="zh-CN"/>
        </w:rPr>
        <w:t>电子邮箱</w:t>
      </w:r>
      <w:r>
        <w:rPr>
          <w:rFonts w:hint="eastAsia"/>
        </w:rPr>
        <w:t>等方式进行回访；</w:t>
      </w:r>
    </w:p>
    <w:p w14:paraId="4431AD50">
      <w:pPr>
        <w:pStyle w:val="11"/>
        <w:numPr>
          <w:ilvl w:val="0"/>
          <w:numId w:val="8"/>
        </w:numPr>
      </w:pPr>
      <w:r>
        <w:rPr>
          <w:rFonts w:hint="eastAsia"/>
        </w:rPr>
        <w:t>投诉处理情况等。</w:t>
      </w:r>
    </w:p>
    <w:p w14:paraId="5362F4F2">
      <w:pPr>
        <w:pStyle w:val="12"/>
        <w:spacing w:before="156" w:after="156"/>
      </w:pPr>
      <w:r>
        <w:rPr>
          <w:rFonts w:hint="eastAsia"/>
        </w:rPr>
        <w:t>服务改进</w:t>
      </w:r>
    </w:p>
    <w:p w14:paraId="278C67C4">
      <w:pPr>
        <w:pStyle w:val="7"/>
        <w:ind w:firstLine="420"/>
      </w:pPr>
      <w:r>
        <w:t>服务改进的情况包括不限于：</w:t>
      </w:r>
    </w:p>
    <w:p w14:paraId="75677BF2">
      <w:pPr>
        <w:pStyle w:val="11"/>
        <w:numPr>
          <w:ilvl w:val="0"/>
          <w:numId w:val="9"/>
        </w:numPr>
      </w:pPr>
      <w:r>
        <w:rPr>
          <w:rFonts w:hint="eastAsia"/>
          <w:lang w:val="en-US" w:eastAsia="zh-CN"/>
        </w:rPr>
        <w:t>及时自查，</w:t>
      </w:r>
      <w:r>
        <w:rPr>
          <w:rFonts w:hint="eastAsia"/>
        </w:rPr>
        <w:t>对不符合相关</w:t>
      </w:r>
      <w:r>
        <w:rPr>
          <w:rFonts w:hint="eastAsia"/>
          <w:lang w:val="en-US" w:eastAsia="zh-CN"/>
        </w:rPr>
        <w:t>规定或影响拥军效果程度明显</w:t>
      </w:r>
      <w:r>
        <w:rPr>
          <w:rFonts w:hint="eastAsia"/>
        </w:rPr>
        <w:t>的，</w:t>
      </w:r>
      <w:r>
        <w:rPr>
          <w:rFonts w:hint="eastAsia"/>
          <w:lang w:val="en-US" w:eastAsia="zh-CN"/>
        </w:rPr>
        <w:t>及时</w:t>
      </w:r>
      <w:r>
        <w:rPr>
          <w:rFonts w:hint="eastAsia"/>
        </w:rPr>
        <w:t>改进与提升；</w:t>
      </w:r>
    </w:p>
    <w:p w14:paraId="70ED452C">
      <w:pPr>
        <w:pStyle w:val="11"/>
        <w:numPr>
          <w:ilvl w:val="0"/>
          <w:numId w:val="9"/>
        </w:numPr>
      </w:pPr>
      <w:r>
        <w:rPr>
          <w:rFonts w:hint="eastAsia"/>
        </w:rPr>
        <w:t>对</w:t>
      </w:r>
      <w:r>
        <w:rPr>
          <w:rFonts w:hint="eastAsia"/>
          <w:lang w:val="en-US" w:eastAsia="zh-CN"/>
        </w:rPr>
        <w:t>优抚</w:t>
      </w:r>
      <w:r>
        <w:rPr>
          <w:rFonts w:hint="eastAsia"/>
        </w:rPr>
        <w:t>对象提出的合理化建议应充分吸纳，及时纠正服务中存在的问题；</w:t>
      </w:r>
    </w:p>
    <w:p w14:paraId="1E18A68B">
      <w:pPr>
        <w:pStyle w:val="11"/>
        <w:numPr>
          <w:ilvl w:val="0"/>
          <w:numId w:val="9"/>
        </w:numPr>
      </w:pPr>
      <w:r>
        <w:rPr>
          <w:rFonts w:hint="eastAsia"/>
          <w:lang w:val="en-US" w:eastAsia="zh-CN"/>
        </w:rPr>
        <w:t>优抚</w:t>
      </w:r>
      <w:r>
        <w:rPr>
          <w:rFonts w:hint="eastAsia"/>
        </w:rPr>
        <w:t>对象遇到服务质量等问题可向属地退役军人事务</w:t>
      </w:r>
      <w:r>
        <w:rPr>
          <w:rFonts w:hint="eastAsia"/>
          <w:lang w:val="en-US" w:eastAsia="zh-CN"/>
        </w:rPr>
        <w:t>部门</w:t>
      </w:r>
      <w:r>
        <w:rPr>
          <w:rFonts w:hint="eastAsia"/>
        </w:rPr>
        <w:t>或12315投诉，主管部门受理后应及时</w:t>
      </w:r>
      <w:r>
        <w:rPr>
          <w:rFonts w:hint="eastAsia"/>
          <w:lang w:val="en-US" w:eastAsia="zh-CN"/>
        </w:rPr>
        <w:t>处理并</w:t>
      </w:r>
      <w:r>
        <w:rPr>
          <w:rFonts w:hint="eastAsia"/>
        </w:rPr>
        <w:t>反馈。</w:t>
      </w:r>
    </w:p>
    <w:p w14:paraId="7BC4360B">
      <w:pPr>
        <w:pStyle w:val="6"/>
        <w:spacing w:before="312" w:after="312"/>
      </w:pPr>
      <w:bookmarkStart w:id="33" w:name="_Toc27749"/>
      <w:bookmarkStart w:id="34" w:name="_Toc181691870"/>
      <w:r>
        <w:rPr>
          <w:rFonts w:hint="eastAsia"/>
        </w:rPr>
        <w:t>管理与监督</w:t>
      </w:r>
      <w:bookmarkEnd w:id="33"/>
      <w:bookmarkEnd w:id="34"/>
    </w:p>
    <w:p w14:paraId="10AD3884">
      <w:pPr>
        <w:pStyle w:val="10"/>
        <w:spacing w:before="156" w:after="156"/>
      </w:pPr>
      <w:bookmarkStart w:id="35" w:name="_Toc181691871"/>
      <w:r>
        <w:rPr>
          <w:rFonts w:hint="eastAsia"/>
        </w:rPr>
        <w:t>申报程序</w:t>
      </w:r>
      <w:bookmarkEnd w:id="35"/>
    </w:p>
    <w:p w14:paraId="0C0A7EE9">
      <w:pPr>
        <w:pStyle w:val="7"/>
        <w:ind w:firstLine="420"/>
      </w:pPr>
      <w:r>
        <w:rPr>
          <w:rFonts w:hint="eastAsia"/>
        </w:rPr>
        <w:t>拥军门店向注册地或营业地所在地</w:t>
      </w:r>
      <w:r>
        <w:rPr>
          <w:rFonts w:hint="eastAsia"/>
          <w:lang w:val="en-US" w:eastAsia="zh-CN"/>
        </w:rPr>
        <w:t>区的</w:t>
      </w:r>
      <w:r>
        <w:rPr>
          <w:rFonts w:hint="eastAsia"/>
        </w:rPr>
        <w:t>县（区）退役军人事务</w:t>
      </w:r>
      <w:r>
        <w:rPr>
          <w:rFonts w:hint="eastAsia"/>
          <w:lang w:val="en-US" w:eastAsia="zh-CN"/>
        </w:rPr>
        <w:t>部门</w:t>
      </w:r>
      <w:r>
        <w:rPr>
          <w:rFonts w:hint="eastAsia"/>
        </w:rPr>
        <w:t>申报，填写《淮南市拥军门店申请表》，</w:t>
      </w:r>
      <w:r>
        <w:rPr>
          <w:rFonts w:hint="eastAsia"/>
          <w:lang w:val="en-US" w:eastAsia="zh-CN"/>
        </w:rPr>
        <w:t>并</w:t>
      </w:r>
      <w:r>
        <w:rPr>
          <w:rFonts w:hint="eastAsia"/>
        </w:rPr>
        <w:t>提</w:t>
      </w:r>
      <w:r>
        <w:rPr>
          <w:rFonts w:hint="eastAsia"/>
          <w:lang w:val="en-US" w:eastAsia="zh-CN"/>
        </w:rPr>
        <w:t>交</w:t>
      </w:r>
      <w:r>
        <w:rPr>
          <w:rFonts w:hint="eastAsia"/>
        </w:rPr>
        <w:t>法人代表身份证复印件、统一社会信用代码证或者营业执照复印件等相关资料，并设置联络专员</w:t>
      </w:r>
      <w:r>
        <w:rPr>
          <w:rFonts w:hint="eastAsia"/>
          <w:highlight w:val="none"/>
        </w:rPr>
        <w:t>。淮南市拥军门店申请表见附录</w:t>
      </w:r>
      <w:r>
        <w:rPr>
          <w:rFonts w:hint="eastAsia"/>
          <w:highlight w:val="none"/>
          <w:lang w:val="en-US" w:eastAsia="zh-CN"/>
        </w:rPr>
        <w:t>B.1</w:t>
      </w:r>
      <w:r>
        <w:rPr>
          <w:rFonts w:hint="eastAsia"/>
          <w:highlight w:val="none"/>
        </w:rPr>
        <w:t>。</w:t>
      </w:r>
    </w:p>
    <w:p w14:paraId="5FB4DAE3">
      <w:pPr>
        <w:pStyle w:val="10"/>
        <w:spacing w:before="156" w:after="156"/>
      </w:pPr>
      <w:bookmarkStart w:id="36" w:name="_Toc181691872"/>
      <w:r>
        <w:rPr>
          <w:rFonts w:hint="eastAsia"/>
        </w:rPr>
        <w:t>审核批准</w:t>
      </w:r>
      <w:bookmarkEnd w:id="36"/>
    </w:p>
    <w:p w14:paraId="0E27C052">
      <w:pPr>
        <w:pStyle w:val="14"/>
      </w:pPr>
      <w:r>
        <w:rPr>
          <w:rFonts w:hint="eastAsia"/>
        </w:rPr>
        <w:t>县</w:t>
      </w:r>
      <w:r>
        <w:rPr>
          <w:rFonts w:hint="eastAsia"/>
          <w:lang w:eastAsia="zh-CN"/>
        </w:rPr>
        <w:t>（</w:t>
      </w:r>
      <w:r>
        <w:rPr>
          <w:rFonts w:hint="eastAsia"/>
        </w:rPr>
        <w:t>区</w:t>
      </w:r>
      <w:r>
        <w:rPr>
          <w:rFonts w:hint="eastAsia"/>
          <w:lang w:eastAsia="zh-CN"/>
        </w:rPr>
        <w:t>）</w:t>
      </w:r>
      <w:r>
        <w:rPr>
          <w:rFonts w:hint="eastAsia"/>
        </w:rPr>
        <w:t>退役军人事务</w:t>
      </w:r>
      <w:r>
        <w:rPr>
          <w:rFonts w:hint="eastAsia"/>
          <w:lang w:val="en-US" w:eastAsia="zh-CN"/>
        </w:rPr>
        <w:t>部门</w:t>
      </w:r>
      <w:r>
        <w:rPr>
          <w:rFonts w:hint="eastAsia"/>
        </w:rPr>
        <w:t>按照《淮南市拥军门店服务与管理规范工作机制（试行）》主要职责的权限分级审核，对提出申请的企业、社会组织营业地分布在多个县（区）的，报市双拥办统一协调审核。</w:t>
      </w:r>
    </w:p>
    <w:p w14:paraId="540114B6">
      <w:pPr>
        <w:pStyle w:val="14"/>
      </w:pPr>
      <w:r>
        <w:rPr>
          <w:rFonts w:hint="eastAsia"/>
        </w:rPr>
        <w:t>由县（区）退役军人事务</w:t>
      </w:r>
      <w:r>
        <w:rPr>
          <w:rFonts w:hint="eastAsia"/>
          <w:lang w:val="en-US" w:eastAsia="zh-CN"/>
        </w:rPr>
        <w:t>部门</w:t>
      </w:r>
      <w:r>
        <w:rPr>
          <w:rFonts w:hint="eastAsia"/>
        </w:rPr>
        <w:t>、所属镇街道退役军人服务站联合县（区）人武部</w:t>
      </w:r>
      <w:r>
        <w:rPr>
          <w:rFonts w:hint="eastAsia"/>
          <w:lang w:eastAsia="zh-CN"/>
        </w:rPr>
        <w:t>、</w:t>
      </w:r>
      <w:r>
        <w:rPr>
          <w:rFonts w:hint="eastAsia"/>
        </w:rPr>
        <w:t>市场监督管理</w:t>
      </w:r>
      <w:r>
        <w:rPr>
          <w:rFonts w:hint="eastAsia"/>
          <w:lang w:val="en-US" w:eastAsia="zh-CN"/>
        </w:rPr>
        <w:t>相关部门</w:t>
      </w:r>
      <w:r>
        <w:rPr>
          <w:rFonts w:hint="eastAsia"/>
        </w:rPr>
        <w:t>对拥军门店的行业资质、产品和服务质量、诚信状况等进行综合评估和资质审核。</w:t>
      </w:r>
    </w:p>
    <w:p w14:paraId="1B76FA1E">
      <w:pPr>
        <w:pStyle w:val="14"/>
      </w:pPr>
      <w:r>
        <w:rPr>
          <w:rFonts w:hint="eastAsia"/>
        </w:rPr>
        <w:t>具有列入违法失信名单、当下有经济纠纷尚未解决、消费者投诉举报较多、长期经营不佳效益不好等情况之一的不予受理或暂不受理。</w:t>
      </w:r>
    </w:p>
    <w:p w14:paraId="6C04FDAC">
      <w:pPr>
        <w:pStyle w:val="14"/>
      </w:pPr>
      <w:r>
        <w:rPr>
          <w:rFonts w:hint="eastAsia"/>
        </w:rPr>
        <w:t>县（区）退役军人事务</w:t>
      </w:r>
      <w:r>
        <w:rPr>
          <w:rFonts w:hint="eastAsia"/>
          <w:lang w:val="en-US" w:eastAsia="zh-CN"/>
        </w:rPr>
        <w:t>部门</w:t>
      </w:r>
      <w:r>
        <w:rPr>
          <w:rFonts w:hint="eastAsia"/>
        </w:rPr>
        <w:t>对符合条件的拥军门店确认合格后，向社会公示，公示时间不少于7天，公示后无异议，准予加入拥军门店</w:t>
      </w:r>
      <w:r>
        <w:rPr>
          <w:rFonts w:hint="eastAsia"/>
          <w:lang w:eastAsia="zh-CN"/>
        </w:rPr>
        <w:t>，</w:t>
      </w:r>
      <w:r>
        <w:rPr>
          <w:rFonts w:hint="eastAsia"/>
          <w:lang w:val="en-US" w:eastAsia="zh-CN"/>
        </w:rPr>
        <w:t>实行动态管理</w:t>
      </w:r>
      <w:r>
        <w:rPr>
          <w:rFonts w:hint="eastAsia"/>
        </w:rPr>
        <w:t>。</w:t>
      </w:r>
    </w:p>
    <w:p w14:paraId="04035848">
      <w:pPr>
        <w:pStyle w:val="14"/>
      </w:pPr>
      <w:r>
        <w:rPr>
          <w:rFonts w:hint="eastAsia"/>
        </w:rPr>
        <w:t>县（区）退役军人事务</w:t>
      </w:r>
      <w:r>
        <w:rPr>
          <w:rFonts w:hint="eastAsia"/>
          <w:lang w:val="en-US" w:eastAsia="zh-CN"/>
        </w:rPr>
        <w:t>部门</w:t>
      </w:r>
      <w:r>
        <w:rPr>
          <w:rFonts w:hint="eastAsia"/>
        </w:rPr>
        <w:t>每年可在</w:t>
      </w:r>
      <w:r>
        <w:rPr>
          <w:rFonts w:hint="eastAsia"/>
          <w:lang w:val="en-US" w:eastAsia="zh-CN"/>
        </w:rPr>
        <w:t>每年八一期间</w:t>
      </w:r>
      <w:r>
        <w:rPr>
          <w:rFonts w:hint="eastAsia"/>
        </w:rPr>
        <w:t>集中授牌，根据实际情况，也可在其他时段分级授牌。淮南市拥军门店牌匾见附录</w:t>
      </w:r>
      <w:r>
        <w:rPr>
          <w:rFonts w:hint="eastAsia"/>
          <w:lang w:val="en-US" w:eastAsia="zh-CN"/>
        </w:rPr>
        <w:t>C.1</w:t>
      </w:r>
      <w:r>
        <w:rPr>
          <w:rFonts w:hint="eastAsia"/>
        </w:rPr>
        <w:t>。</w:t>
      </w:r>
    </w:p>
    <w:p w14:paraId="2F144D92">
      <w:pPr>
        <w:pStyle w:val="10"/>
        <w:spacing w:before="156" w:after="156"/>
      </w:pPr>
      <w:bookmarkStart w:id="37" w:name="_Toc181691873"/>
      <w:r>
        <w:t>退出管理</w:t>
      </w:r>
      <w:bookmarkEnd w:id="37"/>
    </w:p>
    <w:p w14:paraId="3C8C8E7E">
      <w:pPr>
        <w:pStyle w:val="14"/>
      </w:pPr>
      <w:r>
        <w:rPr>
          <w:rFonts w:hint="eastAsia"/>
        </w:rPr>
        <w:t>拥军门店如有下列情形之一的，由</w:t>
      </w:r>
      <w:r>
        <w:rPr>
          <w:rFonts w:hint="eastAsia"/>
          <w:lang w:val="en-US" w:eastAsia="zh-CN"/>
        </w:rPr>
        <w:t>审核批准的</w:t>
      </w:r>
      <w:r>
        <w:rPr>
          <w:rFonts w:hint="eastAsia"/>
        </w:rPr>
        <w:t>县（区）退役军人事务</w:t>
      </w:r>
      <w:r>
        <w:rPr>
          <w:rFonts w:hint="eastAsia"/>
          <w:lang w:val="en-US" w:eastAsia="zh-CN"/>
        </w:rPr>
        <w:t>部门</w:t>
      </w:r>
      <w:r>
        <w:rPr>
          <w:rFonts w:hint="eastAsia"/>
        </w:rPr>
        <w:t>发出《拥军门店整改通知书》，并进行约谈：</w:t>
      </w:r>
    </w:p>
    <w:p w14:paraId="5F12C545">
      <w:pPr>
        <w:pStyle w:val="11"/>
        <w:numPr>
          <w:ilvl w:val="0"/>
          <w:numId w:val="10"/>
        </w:numPr>
      </w:pPr>
      <w:r>
        <w:rPr>
          <w:rFonts w:hint="eastAsia"/>
        </w:rPr>
        <w:t>拒不履行服务承诺</w:t>
      </w:r>
      <w:r>
        <w:rPr>
          <w:rFonts w:hint="eastAsia"/>
          <w:lang w:val="en-US" w:eastAsia="zh-CN"/>
        </w:rPr>
        <w:t>且情况属实的</w:t>
      </w:r>
      <w:r>
        <w:rPr>
          <w:rFonts w:hint="eastAsia"/>
        </w:rPr>
        <w:t>；</w:t>
      </w:r>
    </w:p>
    <w:p w14:paraId="5AE9B7DC">
      <w:pPr>
        <w:pStyle w:val="11"/>
        <w:numPr>
          <w:ilvl w:val="0"/>
          <w:numId w:val="10"/>
        </w:numPr>
      </w:pPr>
      <w:r>
        <w:rPr>
          <w:rFonts w:hint="eastAsia"/>
        </w:rPr>
        <w:t>收到惠军服务投诉</w:t>
      </w:r>
      <w:r>
        <w:rPr>
          <w:rFonts w:hint="eastAsia"/>
          <w:lang w:val="en-US" w:eastAsia="zh-CN"/>
        </w:rPr>
        <w:t>且情况属实的</w:t>
      </w:r>
      <w:r>
        <w:rPr>
          <w:rFonts w:hint="eastAsia"/>
        </w:rPr>
        <w:t>；</w:t>
      </w:r>
    </w:p>
    <w:p w14:paraId="45FC2745">
      <w:pPr>
        <w:pStyle w:val="11"/>
        <w:numPr>
          <w:ilvl w:val="0"/>
          <w:numId w:val="10"/>
        </w:numPr>
      </w:pPr>
      <w:r>
        <w:rPr>
          <w:rFonts w:hint="eastAsia"/>
        </w:rPr>
        <w:t>违反惠军措施相关规定，在服务保障上造成</w:t>
      </w:r>
      <w:r>
        <w:rPr>
          <w:rFonts w:hint="eastAsia"/>
          <w:lang w:eastAsia="zh-CN"/>
        </w:rPr>
        <w:t>不良</w:t>
      </w:r>
      <w:r>
        <w:rPr>
          <w:rFonts w:hint="eastAsia"/>
        </w:rPr>
        <w:t>影响的。</w:t>
      </w:r>
    </w:p>
    <w:p w14:paraId="3012448E">
      <w:pPr>
        <w:pStyle w:val="14"/>
      </w:pPr>
      <w:r>
        <w:rPr>
          <w:rFonts w:hint="eastAsia"/>
        </w:rPr>
        <w:t>拥军门店如有下列情形之一的，由</w:t>
      </w:r>
      <w:r>
        <w:rPr>
          <w:rFonts w:hint="eastAsia"/>
          <w:lang w:val="en-US" w:eastAsia="zh-CN"/>
        </w:rPr>
        <w:t>审核批准的</w:t>
      </w:r>
      <w:r>
        <w:rPr>
          <w:rFonts w:hint="eastAsia"/>
        </w:rPr>
        <w:t>县（区）退役军人事务</w:t>
      </w:r>
      <w:r>
        <w:rPr>
          <w:rFonts w:hint="eastAsia"/>
          <w:lang w:val="en-US" w:eastAsia="zh-CN"/>
        </w:rPr>
        <w:t>部门</w:t>
      </w:r>
      <w:r>
        <w:rPr>
          <w:rFonts w:hint="eastAsia"/>
        </w:rPr>
        <w:t>发出《拥军门店资格取消通知书》，由原授牌单位在7个工作日内进行摘牌：</w:t>
      </w:r>
    </w:p>
    <w:p w14:paraId="34AECCF0">
      <w:pPr>
        <w:pStyle w:val="11"/>
        <w:numPr>
          <w:ilvl w:val="0"/>
          <w:numId w:val="11"/>
        </w:numPr>
      </w:pPr>
      <w:r>
        <w:rPr>
          <w:rFonts w:hint="eastAsia"/>
        </w:rPr>
        <w:t>拒不履行服务承诺</w:t>
      </w:r>
      <w:r>
        <w:rPr>
          <w:rFonts w:hint="eastAsia"/>
          <w:lang w:val="en-US" w:eastAsia="zh-CN"/>
        </w:rPr>
        <w:t>且情况属实，服务期限内累计</w:t>
      </w:r>
      <w:r>
        <w:rPr>
          <w:rFonts w:hint="eastAsia"/>
        </w:rPr>
        <w:t>反映次数</w:t>
      </w:r>
      <w:r>
        <w:rPr>
          <w:rFonts w:hint="eastAsia"/>
          <w:lang w:val="en-US" w:eastAsia="zh-CN"/>
        </w:rPr>
        <w:t>达到</w:t>
      </w:r>
      <w:r>
        <w:rPr>
          <w:rFonts w:hint="eastAsia"/>
          <w:highlight w:val="none"/>
          <w:lang w:val="en-US" w:eastAsia="zh-CN"/>
        </w:rPr>
        <w:t>2</w:t>
      </w:r>
      <w:r>
        <w:rPr>
          <w:rFonts w:hint="eastAsia"/>
          <w:highlight w:val="none"/>
        </w:rPr>
        <w:t>人次</w:t>
      </w:r>
      <w:r>
        <w:rPr>
          <w:rFonts w:hint="eastAsia"/>
        </w:rPr>
        <w:t>的；</w:t>
      </w:r>
    </w:p>
    <w:p w14:paraId="5100CE14">
      <w:pPr>
        <w:pStyle w:val="11"/>
        <w:numPr>
          <w:ilvl w:val="0"/>
          <w:numId w:val="11"/>
        </w:numPr>
        <w:rPr>
          <w:highlight w:val="none"/>
        </w:rPr>
      </w:pPr>
      <w:r>
        <w:rPr>
          <w:rFonts w:hint="eastAsia"/>
        </w:rPr>
        <w:t>收到惠军服务投诉</w:t>
      </w:r>
      <w:r>
        <w:rPr>
          <w:rFonts w:hint="eastAsia"/>
          <w:lang w:val="en-US" w:eastAsia="zh-CN"/>
        </w:rPr>
        <w:t>且情况属实</w:t>
      </w:r>
      <w:r>
        <w:rPr>
          <w:rFonts w:hint="eastAsia"/>
          <w:lang w:eastAsia="zh-CN"/>
        </w:rPr>
        <w:t>，</w:t>
      </w:r>
      <w:r>
        <w:rPr>
          <w:rFonts w:hint="eastAsia"/>
          <w:lang w:val="en-US" w:eastAsia="zh-CN"/>
        </w:rPr>
        <w:t>服务期限内累计达到</w:t>
      </w:r>
      <w:r>
        <w:rPr>
          <w:rFonts w:hint="eastAsia"/>
          <w:highlight w:val="none"/>
          <w:lang w:val="en-US" w:eastAsia="zh-CN"/>
        </w:rPr>
        <w:t>2</w:t>
      </w:r>
      <w:r>
        <w:rPr>
          <w:rFonts w:hint="eastAsia"/>
          <w:highlight w:val="none"/>
        </w:rPr>
        <w:t>次的；</w:t>
      </w:r>
    </w:p>
    <w:p w14:paraId="286B7BC3">
      <w:pPr>
        <w:pStyle w:val="11"/>
        <w:numPr>
          <w:ilvl w:val="0"/>
          <w:numId w:val="11"/>
        </w:numPr>
        <w:rPr>
          <w:highlight w:val="none"/>
        </w:rPr>
      </w:pPr>
      <w:r>
        <w:rPr>
          <w:rFonts w:hint="eastAsia"/>
          <w:highlight w:val="none"/>
        </w:rPr>
        <w:t>严重违反惠军措施相关规定，在服务保障上造成恶劣影响的；</w:t>
      </w:r>
    </w:p>
    <w:p w14:paraId="3AA35269">
      <w:pPr>
        <w:pStyle w:val="11"/>
        <w:numPr>
          <w:ilvl w:val="0"/>
          <w:numId w:val="11"/>
        </w:numPr>
        <w:rPr>
          <w:highlight w:val="none"/>
        </w:rPr>
      </w:pPr>
      <w:r>
        <w:rPr>
          <w:rFonts w:hint="eastAsia"/>
          <w:highlight w:val="none"/>
        </w:rPr>
        <w:t>拥军门店违反国家法律法规，被吊销营业执照或破产清算的；</w:t>
      </w:r>
    </w:p>
    <w:p w14:paraId="50CF1AAE">
      <w:pPr>
        <w:pStyle w:val="11"/>
        <w:numPr>
          <w:ilvl w:val="0"/>
          <w:numId w:val="11"/>
        </w:numPr>
        <w:rPr>
          <w:highlight w:val="none"/>
        </w:rPr>
      </w:pPr>
      <w:r>
        <w:rPr>
          <w:rFonts w:hint="eastAsia"/>
          <w:highlight w:val="none"/>
        </w:rPr>
        <w:t>拥军门店被</w:t>
      </w:r>
      <w:r>
        <w:rPr>
          <w:rFonts w:hint="eastAsia"/>
          <w:highlight w:val="none"/>
          <w:lang w:val="en-US" w:eastAsia="zh-CN"/>
        </w:rPr>
        <w:t>相关行业主管部门</w:t>
      </w:r>
      <w:r>
        <w:rPr>
          <w:rFonts w:hint="eastAsia"/>
          <w:highlight w:val="none"/>
        </w:rPr>
        <w:t>列入“黑榜”的；</w:t>
      </w:r>
    </w:p>
    <w:p w14:paraId="6182126B">
      <w:pPr>
        <w:pStyle w:val="11"/>
        <w:numPr>
          <w:ilvl w:val="0"/>
          <w:numId w:val="11"/>
        </w:numPr>
        <w:rPr>
          <w:highlight w:val="none"/>
        </w:rPr>
      </w:pPr>
      <w:r>
        <w:rPr>
          <w:rFonts w:hint="eastAsia"/>
          <w:highlight w:val="none"/>
        </w:rPr>
        <w:t>被约谈</w:t>
      </w:r>
      <w:r>
        <w:rPr>
          <w:rFonts w:hint="eastAsia"/>
          <w:highlight w:val="none"/>
          <w:lang w:val="en-US" w:eastAsia="zh-CN"/>
        </w:rPr>
        <w:t>2</w:t>
      </w:r>
      <w:r>
        <w:rPr>
          <w:rFonts w:hint="eastAsia"/>
          <w:highlight w:val="none"/>
        </w:rPr>
        <w:t>次</w:t>
      </w:r>
      <w:r>
        <w:rPr>
          <w:rFonts w:hint="eastAsia"/>
          <w:highlight w:val="none"/>
          <w:lang w:eastAsia="zh-CN"/>
        </w:rPr>
        <w:t>及</w:t>
      </w:r>
      <w:r>
        <w:rPr>
          <w:rFonts w:hint="eastAsia"/>
          <w:highlight w:val="none"/>
        </w:rPr>
        <w:t>以上的；</w:t>
      </w:r>
    </w:p>
    <w:p w14:paraId="548B375C">
      <w:pPr>
        <w:pStyle w:val="11"/>
        <w:numPr>
          <w:ilvl w:val="0"/>
          <w:numId w:val="11"/>
        </w:numPr>
        <w:rPr>
          <w:highlight w:val="none"/>
        </w:rPr>
      </w:pPr>
      <w:r>
        <w:rPr>
          <w:rFonts w:hint="eastAsia"/>
          <w:highlight w:val="none"/>
        </w:rPr>
        <w:t>其他应当被取消拥军门店资格的</w:t>
      </w:r>
      <w:r>
        <w:rPr>
          <w:rFonts w:hint="eastAsia"/>
          <w:highlight w:val="none"/>
          <w:lang w:eastAsia="zh-CN"/>
        </w:rPr>
        <w:t>，</w:t>
      </w:r>
      <w:r>
        <w:rPr>
          <w:rFonts w:hint="eastAsia"/>
          <w:highlight w:val="none"/>
          <w:lang w:val="en-US" w:eastAsia="zh-CN"/>
        </w:rPr>
        <w:t>如安全生产、卫生条件、消防等不符合相关行业标准仍不整改</w:t>
      </w:r>
      <w:r>
        <w:rPr>
          <w:rFonts w:hint="eastAsia"/>
          <w:highlight w:val="none"/>
        </w:rPr>
        <w:t>。</w:t>
      </w:r>
    </w:p>
    <w:p w14:paraId="41DEEDD5">
      <w:pPr>
        <w:pStyle w:val="14"/>
      </w:pPr>
      <w:r>
        <w:rPr>
          <w:rFonts w:hint="eastAsia"/>
        </w:rPr>
        <w:t>拥军门店协议期满没有续签服务协议的，自协议满次日起，自动取消拥军门店资格。</w:t>
      </w:r>
    </w:p>
    <w:p w14:paraId="404D3250">
      <w:pPr>
        <w:pStyle w:val="14"/>
      </w:pPr>
      <w:r>
        <w:rPr>
          <w:rFonts w:hint="eastAsia"/>
        </w:rPr>
        <w:t>拥军门店协议期间因自身原因需中途退出的，应向原申报管理部门提出书面申请，经批准后方可退出并摘牌。</w:t>
      </w:r>
    </w:p>
    <w:p w14:paraId="31BAD5A6">
      <w:pPr>
        <w:pStyle w:val="10"/>
        <w:spacing w:before="156" w:after="156"/>
      </w:pPr>
      <w:bookmarkStart w:id="38" w:name="_Toc181691874"/>
      <w:r>
        <w:rPr>
          <w:rFonts w:hint="eastAsia"/>
        </w:rPr>
        <w:t>监督管理</w:t>
      </w:r>
      <w:bookmarkEnd w:id="38"/>
    </w:p>
    <w:p w14:paraId="537FFC5F">
      <w:pPr>
        <w:pStyle w:val="14"/>
      </w:pPr>
      <w:r>
        <w:rPr>
          <w:rFonts w:hint="eastAsia"/>
        </w:rPr>
        <w:t>拥军门店名单纳入社会化拥军数据库管理，由退役军人事务</w:t>
      </w:r>
      <w:r>
        <w:rPr>
          <w:rFonts w:hint="eastAsia"/>
          <w:lang w:val="en-US" w:eastAsia="zh-CN"/>
        </w:rPr>
        <w:t>部门</w:t>
      </w:r>
      <w:r>
        <w:rPr>
          <w:rFonts w:hint="eastAsia"/>
        </w:rPr>
        <w:t>定期宣传发布拥军门店优惠优待项目清单，实行目录式、动态式、规范化管理，接受社会监督。</w:t>
      </w:r>
    </w:p>
    <w:p w14:paraId="3C57B6D9">
      <w:pPr>
        <w:pStyle w:val="14"/>
      </w:pPr>
      <w:r>
        <w:rPr>
          <w:rFonts w:hint="eastAsia"/>
        </w:rPr>
        <w:t>退役军人事务</w:t>
      </w:r>
      <w:r>
        <w:rPr>
          <w:rFonts w:hint="eastAsia"/>
          <w:lang w:val="en-US" w:eastAsia="zh-CN"/>
        </w:rPr>
        <w:t>部门</w:t>
      </w:r>
      <w:r>
        <w:rPr>
          <w:rFonts w:hint="eastAsia"/>
        </w:rPr>
        <w:t>联合淮南军分区政治工作处（县</w:t>
      </w:r>
      <w:r>
        <w:rPr>
          <w:rFonts w:hint="eastAsia"/>
          <w:lang w:eastAsia="zh-CN"/>
        </w:rPr>
        <w:t>区</w:t>
      </w:r>
      <w:r>
        <w:rPr>
          <w:rFonts w:hint="eastAsia"/>
        </w:rPr>
        <w:t>人武部政治工作科）组成联合监督小组，采取定期或不定期对拥军门店</w:t>
      </w:r>
      <w:r>
        <w:rPr>
          <w:rFonts w:hint="eastAsia"/>
          <w:lang w:eastAsia="zh-CN"/>
        </w:rPr>
        <w:t>的</w:t>
      </w:r>
      <w:r>
        <w:rPr>
          <w:rFonts w:hint="eastAsia"/>
        </w:rPr>
        <w:t>履约情况</w:t>
      </w:r>
      <w:r>
        <w:rPr>
          <w:rFonts w:hint="eastAsia"/>
          <w:lang w:eastAsia="zh-CN"/>
        </w:rPr>
        <w:t>进行</w:t>
      </w:r>
      <w:r>
        <w:rPr>
          <w:rFonts w:hint="eastAsia"/>
        </w:rPr>
        <w:t>监督，按权限受理相关投诉，并负责对违约情况进行提醒及要求整改。</w:t>
      </w:r>
    </w:p>
    <w:p w14:paraId="4445CC1F">
      <w:pPr>
        <w:pStyle w:val="7"/>
        <w:ind w:left="0" w:leftChars="0" w:firstLine="0" w:firstLineChars="0"/>
        <w:sectPr>
          <w:pgSz w:w="11906" w:h="16838"/>
          <w:pgMar w:top="1928" w:right="1134" w:bottom="1134" w:left="1134" w:header="1418" w:footer="1134" w:gutter="284"/>
          <w:pgNumType w:start="1"/>
          <w:cols w:space="425" w:num="1"/>
          <w:formProt w:val="0"/>
          <w:docGrid w:type="lines" w:linePitch="312" w:charSpace="0"/>
        </w:sectPr>
      </w:pPr>
    </w:p>
    <w:p w14:paraId="3FE476C7">
      <w:pPr>
        <w:pStyle w:val="15"/>
        <w:rPr>
          <w:vanish w:val="0"/>
        </w:rPr>
      </w:pPr>
      <w:bookmarkStart w:id="39" w:name="BookMark5"/>
    </w:p>
    <w:p w14:paraId="5F17EB9C">
      <w:pPr>
        <w:pStyle w:val="16"/>
        <w:rPr>
          <w:vanish w:val="0"/>
        </w:rPr>
      </w:pPr>
    </w:p>
    <w:p w14:paraId="5F92BD2F">
      <w:pPr>
        <w:pStyle w:val="17"/>
        <w:bidi w:val="0"/>
      </w:pPr>
      <w:r>
        <w:rPr>
          <w:rFonts w:hint="eastAsia"/>
          <w:lang w:val="en-US" w:eastAsia="zh-CN"/>
        </w:rPr>
        <w:t xml:space="preserve">                                                                               </w:t>
      </w:r>
      <w:bookmarkStart w:id="40" w:name="_Toc20407"/>
      <w:r>
        <w:rPr>
          <w:rFonts w:hint="eastAsia"/>
        </w:rPr>
        <w:t>（资料性）</w:t>
      </w:r>
      <w:r>
        <w:br w:type="textWrapping"/>
      </w:r>
      <w:r>
        <w:rPr>
          <w:rFonts w:hint="eastAsia"/>
          <w:lang w:val="en-US" w:eastAsia="zh-CN"/>
        </w:rPr>
        <w:t>拥军优惠服务信息登记</w:t>
      </w:r>
      <w:r>
        <w:rPr>
          <w:rFonts w:hint="eastAsia"/>
        </w:rPr>
        <w:t>表</w:t>
      </w:r>
      <w:bookmarkEnd w:id="40"/>
    </w:p>
    <w:p w14:paraId="7B7FEE4B">
      <w:pPr>
        <w:pStyle w:val="7"/>
        <w:ind w:firstLine="420"/>
      </w:pPr>
      <w:r>
        <w:rPr>
          <w:rFonts w:hint="eastAsia"/>
          <w:lang w:val="en-US" w:eastAsia="zh-CN"/>
        </w:rPr>
        <w:t>拥军优惠服务信息登记</w:t>
      </w:r>
      <w:r>
        <w:rPr>
          <w:rFonts w:hint="eastAsia"/>
        </w:rPr>
        <w:t>表见表A.</w:t>
      </w:r>
      <w:r>
        <w:t>1。</w:t>
      </w:r>
    </w:p>
    <w:p w14:paraId="25CCFC0C">
      <w:pPr>
        <w:pStyle w:val="18"/>
        <w:spacing w:before="156" w:after="156"/>
      </w:pPr>
      <w:r>
        <w:rPr>
          <w:rFonts w:hint="eastAsia"/>
          <w:lang w:val="en-US" w:eastAsia="zh-CN"/>
        </w:rPr>
        <w:t>拥军优惠服务信息登记</w:t>
      </w:r>
      <w:r>
        <w:rPr>
          <w:rFonts w:hint="eastAsia"/>
        </w:rPr>
        <w:t>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61"/>
        <w:gridCol w:w="3115"/>
        <w:gridCol w:w="1425"/>
        <w:gridCol w:w="1537"/>
      </w:tblGrid>
      <w:tr w14:paraId="17F0F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7" w:hRule="atLeast"/>
          <w:tblHeader/>
          <w:jc w:val="center"/>
        </w:trPr>
        <w:tc>
          <w:tcPr>
            <w:tcW w:w="2461" w:type="dxa"/>
            <w:tcBorders>
              <w:top w:val="single" w:color="auto" w:sz="8" w:space="0"/>
              <w:bottom w:val="single" w:color="auto" w:sz="8" w:space="0"/>
            </w:tcBorders>
            <w:shd w:val="clear" w:color="auto" w:fill="auto"/>
            <w:vAlign w:val="center"/>
          </w:tcPr>
          <w:p w14:paraId="1FA0FB68">
            <w:pPr>
              <w:pStyle w:val="19"/>
              <w:jc w:val="center"/>
              <w:rPr>
                <w:rFonts w:hint="eastAsia" w:eastAsia="宋体"/>
                <w:lang w:val="en-US" w:eastAsia="zh-CN"/>
              </w:rPr>
            </w:pPr>
            <w:r>
              <w:rPr>
                <w:rFonts w:hint="eastAsia"/>
                <w:lang w:val="en-US" w:eastAsia="zh-CN"/>
              </w:rPr>
              <w:t>门店名称</w:t>
            </w:r>
          </w:p>
        </w:tc>
        <w:tc>
          <w:tcPr>
            <w:tcW w:w="3115" w:type="dxa"/>
            <w:tcBorders>
              <w:top w:val="single" w:color="auto" w:sz="8" w:space="0"/>
              <w:bottom w:val="single" w:color="auto" w:sz="8" w:space="0"/>
            </w:tcBorders>
            <w:shd w:val="clear" w:color="auto" w:fill="auto"/>
            <w:vAlign w:val="center"/>
          </w:tcPr>
          <w:p w14:paraId="74BEF203">
            <w:pPr>
              <w:pStyle w:val="19"/>
            </w:pPr>
          </w:p>
        </w:tc>
        <w:tc>
          <w:tcPr>
            <w:tcW w:w="1425" w:type="dxa"/>
            <w:tcBorders>
              <w:top w:val="single" w:color="auto" w:sz="8" w:space="0"/>
              <w:bottom w:val="single" w:color="auto" w:sz="8" w:space="0"/>
            </w:tcBorders>
            <w:shd w:val="clear" w:color="auto" w:fill="auto"/>
            <w:vAlign w:val="center"/>
          </w:tcPr>
          <w:p w14:paraId="7BDFE770">
            <w:pPr>
              <w:pStyle w:val="19"/>
              <w:rPr>
                <w:rFonts w:hint="eastAsia" w:eastAsia="宋体"/>
                <w:lang w:eastAsia="zh-CN"/>
              </w:rPr>
            </w:pPr>
            <w:r>
              <w:rPr>
                <w:rFonts w:hint="eastAsia"/>
                <w:lang w:eastAsia="zh-CN"/>
              </w:rPr>
              <w:t>服务时间</w:t>
            </w:r>
          </w:p>
        </w:tc>
        <w:tc>
          <w:tcPr>
            <w:tcW w:w="1537" w:type="dxa"/>
            <w:tcBorders>
              <w:top w:val="single" w:color="auto" w:sz="8" w:space="0"/>
              <w:bottom w:val="single" w:color="auto" w:sz="8" w:space="0"/>
            </w:tcBorders>
            <w:shd w:val="clear" w:color="auto" w:fill="auto"/>
            <w:vAlign w:val="center"/>
          </w:tcPr>
          <w:p w14:paraId="3B351A72">
            <w:pPr>
              <w:pStyle w:val="19"/>
            </w:pPr>
          </w:p>
        </w:tc>
      </w:tr>
      <w:tr w14:paraId="2199E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2461" w:type="dxa"/>
            <w:tcBorders>
              <w:top w:val="single" w:color="auto" w:sz="8" w:space="0"/>
            </w:tcBorders>
            <w:shd w:val="clear" w:color="auto" w:fill="auto"/>
            <w:vAlign w:val="center"/>
          </w:tcPr>
          <w:p w14:paraId="1EAE639F">
            <w:pPr>
              <w:pStyle w:val="19"/>
              <w:rPr>
                <w:rFonts w:hint="eastAsia" w:eastAsia="宋体"/>
                <w:lang w:eastAsia="zh-CN"/>
              </w:rPr>
            </w:pPr>
            <w:r>
              <w:rPr>
                <w:rFonts w:hint="eastAsia"/>
                <w:lang w:eastAsia="zh-CN"/>
              </w:rPr>
              <w:t>优抚对象姓名</w:t>
            </w:r>
          </w:p>
        </w:tc>
        <w:tc>
          <w:tcPr>
            <w:tcW w:w="6077" w:type="dxa"/>
            <w:gridSpan w:val="3"/>
            <w:tcBorders>
              <w:top w:val="single" w:color="auto" w:sz="8" w:space="0"/>
            </w:tcBorders>
            <w:shd w:val="clear" w:color="auto" w:fill="auto"/>
            <w:vAlign w:val="center"/>
          </w:tcPr>
          <w:p w14:paraId="4E53F473">
            <w:pPr>
              <w:pStyle w:val="19"/>
            </w:pPr>
          </w:p>
        </w:tc>
      </w:tr>
      <w:tr w14:paraId="55610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6" w:hRule="atLeast"/>
          <w:jc w:val="center"/>
        </w:trPr>
        <w:tc>
          <w:tcPr>
            <w:tcW w:w="2461" w:type="dxa"/>
            <w:shd w:val="clear" w:color="auto" w:fill="auto"/>
            <w:vAlign w:val="center"/>
          </w:tcPr>
          <w:p w14:paraId="59A7A9FC">
            <w:pPr>
              <w:pStyle w:val="19"/>
              <w:jc w:val="center"/>
              <w:rPr>
                <w:rFonts w:hint="eastAsia" w:eastAsia="宋体"/>
                <w:lang w:eastAsia="zh-CN"/>
              </w:rPr>
            </w:pPr>
            <w:r>
              <w:rPr>
                <w:rFonts w:hint="eastAsia"/>
                <w:lang w:eastAsia="zh-CN"/>
              </w:rPr>
              <w:t>类型</w:t>
            </w:r>
            <w:r>
              <w:rPr>
                <w:rFonts w:hint="eastAsia"/>
                <w:lang w:val="en-US" w:eastAsia="zh-CN"/>
              </w:rPr>
              <w:t xml:space="preserve">                     </w:t>
            </w:r>
            <w:r>
              <w:rPr>
                <w:rFonts w:hint="eastAsia"/>
                <w:lang w:eastAsia="zh-CN"/>
              </w:rPr>
              <w:t>（现役</w:t>
            </w:r>
            <w:r>
              <w:rPr>
                <w:rFonts w:hint="eastAsia"/>
                <w:lang w:val="en-US" w:eastAsia="zh-CN"/>
              </w:rPr>
              <w:t>军人/文职人员/退役军人/“三属”</w:t>
            </w:r>
            <w:r>
              <w:rPr>
                <w:rFonts w:hint="eastAsia"/>
                <w:lang w:eastAsia="zh-CN"/>
              </w:rPr>
              <w:t>）</w:t>
            </w:r>
          </w:p>
        </w:tc>
        <w:tc>
          <w:tcPr>
            <w:tcW w:w="6077" w:type="dxa"/>
            <w:gridSpan w:val="3"/>
            <w:shd w:val="clear" w:color="auto" w:fill="auto"/>
            <w:vAlign w:val="center"/>
          </w:tcPr>
          <w:p w14:paraId="6182CAD0">
            <w:pPr>
              <w:pStyle w:val="19"/>
            </w:pPr>
          </w:p>
        </w:tc>
      </w:tr>
      <w:tr w14:paraId="24284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2461" w:type="dxa"/>
            <w:shd w:val="clear" w:color="auto" w:fill="auto"/>
            <w:vAlign w:val="center"/>
          </w:tcPr>
          <w:p w14:paraId="4410C382">
            <w:pPr>
              <w:pStyle w:val="19"/>
              <w:rPr>
                <w:rFonts w:hint="eastAsia" w:eastAsia="宋体"/>
                <w:lang w:eastAsia="zh-CN"/>
              </w:rPr>
            </w:pPr>
            <w:r>
              <w:rPr>
                <w:rFonts w:hint="eastAsia"/>
                <w:lang w:eastAsia="zh-CN"/>
              </w:rPr>
              <w:t>联系方式（电话</w:t>
            </w:r>
            <w:r>
              <w:rPr>
                <w:rFonts w:hint="eastAsia"/>
                <w:lang w:val="en-US" w:eastAsia="zh-CN"/>
              </w:rPr>
              <w:t>/微信/邮箱</w:t>
            </w:r>
            <w:r>
              <w:rPr>
                <w:rFonts w:hint="eastAsia"/>
                <w:lang w:eastAsia="zh-CN"/>
              </w:rPr>
              <w:t>）</w:t>
            </w:r>
          </w:p>
        </w:tc>
        <w:tc>
          <w:tcPr>
            <w:tcW w:w="6077" w:type="dxa"/>
            <w:gridSpan w:val="3"/>
            <w:shd w:val="clear" w:color="auto" w:fill="auto"/>
            <w:vAlign w:val="center"/>
          </w:tcPr>
          <w:p w14:paraId="4C7208B2">
            <w:pPr>
              <w:pStyle w:val="19"/>
            </w:pPr>
          </w:p>
        </w:tc>
      </w:tr>
      <w:tr w14:paraId="38CDA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2461" w:type="dxa"/>
            <w:shd w:val="clear" w:color="auto" w:fill="auto"/>
            <w:vAlign w:val="center"/>
          </w:tcPr>
          <w:p w14:paraId="55B9C780">
            <w:pPr>
              <w:pStyle w:val="19"/>
              <w:rPr>
                <w:rFonts w:hint="eastAsia" w:eastAsia="宋体"/>
                <w:lang w:eastAsia="zh-CN"/>
              </w:rPr>
            </w:pPr>
            <w:r>
              <w:rPr>
                <w:rFonts w:hint="eastAsia"/>
                <w:lang w:eastAsia="zh-CN"/>
              </w:rPr>
              <w:t>拥军服务过程</w:t>
            </w:r>
          </w:p>
        </w:tc>
        <w:tc>
          <w:tcPr>
            <w:tcW w:w="6077" w:type="dxa"/>
            <w:gridSpan w:val="3"/>
            <w:shd w:val="clear" w:color="auto" w:fill="auto"/>
            <w:vAlign w:val="center"/>
          </w:tcPr>
          <w:p w14:paraId="043AFF1F">
            <w:pPr>
              <w:pStyle w:val="19"/>
            </w:pPr>
          </w:p>
        </w:tc>
      </w:tr>
      <w:tr w14:paraId="1D6D2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2461" w:type="dxa"/>
            <w:shd w:val="clear" w:color="auto" w:fill="auto"/>
            <w:vAlign w:val="center"/>
          </w:tcPr>
          <w:p w14:paraId="0188E032">
            <w:pPr>
              <w:pStyle w:val="19"/>
              <w:rPr>
                <w:rFonts w:hint="eastAsia" w:eastAsia="宋体"/>
                <w:lang w:eastAsia="zh-CN"/>
              </w:rPr>
            </w:pPr>
            <w:r>
              <w:rPr>
                <w:rFonts w:hint="eastAsia"/>
                <w:lang w:eastAsia="zh-CN"/>
              </w:rPr>
              <w:t>拥军服务效果</w:t>
            </w:r>
          </w:p>
        </w:tc>
        <w:tc>
          <w:tcPr>
            <w:tcW w:w="6077" w:type="dxa"/>
            <w:gridSpan w:val="3"/>
            <w:shd w:val="clear" w:color="auto" w:fill="auto"/>
            <w:vAlign w:val="center"/>
          </w:tcPr>
          <w:p w14:paraId="1E9DEF84">
            <w:pPr>
              <w:pStyle w:val="19"/>
            </w:pPr>
          </w:p>
        </w:tc>
      </w:tr>
      <w:tr w14:paraId="645FD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9" w:hRule="atLeast"/>
          <w:jc w:val="center"/>
        </w:trPr>
        <w:tc>
          <w:tcPr>
            <w:tcW w:w="2461" w:type="dxa"/>
            <w:shd w:val="clear" w:color="auto" w:fill="auto"/>
            <w:vAlign w:val="center"/>
          </w:tcPr>
          <w:p w14:paraId="442C77C3">
            <w:pPr>
              <w:pStyle w:val="19"/>
              <w:rPr>
                <w:rFonts w:hint="eastAsia" w:eastAsia="宋体"/>
                <w:lang w:eastAsia="zh-CN"/>
              </w:rPr>
            </w:pPr>
            <w:r>
              <w:rPr>
                <w:rFonts w:hint="eastAsia"/>
                <w:lang w:eastAsia="zh-CN"/>
              </w:rPr>
              <w:t>改进建议</w:t>
            </w:r>
          </w:p>
        </w:tc>
        <w:tc>
          <w:tcPr>
            <w:tcW w:w="6077" w:type="dxa"/>
            <w:gridSpan w:val="3"/>
            <w:shd w:val="clear" w:color="auto" w:fill="auto"/>
            <w:vAlign w:val="center"/>
          </w:tcPr>
          <w:p w14:paraId="1519BF83">
            <w:pPr>
              <w:pStyle w:val="19"/>
            </w:pPr>
          </w:p>
        </w:tc>
      </w:tr>
    </w:tbl>
    <w:p w14:paraId="0DED378F">
      <w:pPr>
        <w:pStyle w:val="7"/>
        <w:ind w:left="0" w:leftChars="0" w:firstLine="0" w:firstLineChars="0"/>
      </w:pPr>
    </w:p>
    <w:p w14:paraId="1592D7FC">
      <w:pPr>
        <w:pStyle w:val="7"/>
        <w:jc w:val="center"/>
      </w:pPr>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0AE020F3">
      <w:pPr>
        <w:pStyle w:val="7"/>
        <w:ind w:left="0" w:leftChars="0" w:firstLine="0" w:firstLineChars="0"/>
      </w:pPr>
    </w:p>
    <w:p w14:paraId="7DE0BD6F">
      <w:pPr>
        <w:pStyle w:val="7"/>
        <w:ind w:left="0" w:leftChars="0" w:firstLine="0" w:firstLineChars="0"/>
      </w:pPr>
    </w:p>
    <w:p w14:paraId="0D269733">
      <w:pPr>
        <w:pStyle w:val="7"/>
        <w:ind w:left="0" w:leftChars="0" w:firstLine="0" w:firstLineChars="0"/>
      </w:pPr>
    </w:p>
    <w:p w14:paraId="73981501">
      <w:pPr>
        <w:pStyle w:val="7"/>
        <w:ind w:left="0" w:leftChars="0" w:firstLine="0" w:firstLineChars="0"/>
      </w:pPr>
    </w:p>
    <w:p w14:paraId="7E80CA9A">
      <w:pPr>
        <w:pStyle w:val="7"/>
        <w:ind w:left="0" w:leftChars="0" w:firstLine="0" w:firstLineChars="0"/>
      </w:pPr>
    </w:p>
    <w:p w14:paraId="11C5F9A5">
      <w:pPr>
        <w:pStyle w:val="7"/>
        <w:ind w:left="0" w:leftChars="0" w:firstLine="0" w:firstLineChars="0"/>
      </w:pPr>
    </w:p>
    <w:p w14:paraId="53560FF5">
      <w:pPr>
        <w:pStyle w:val="17"/>
        <w:bidi w:val="0"/>
      </w:pPr>
      <w:bookmarkStart w:id="41" w:name="_Toc5600"/>
      <w:r>
        <w:br w:type="textWrapping"/>
      </w:r>
      <w:bookmarkStart w:id="42" w:name="_Toc181691875"/>
      <w:r>
        <w:rPr>
          <w:rFonts w:hint="eastAsia"/>
        </w:rPr>
        <w:t>（资料性）</w:t>
      </w:r>
      <w:r>
        <w:br w:type="textWrapping"/>
      </w:r>
      <w:r>
        <w:rPr>
          <w:rFonts w:hint="eastAsia"/>
        </w:rPr>
        <w:t>淮南市拥军门店申请表</w:t>
      </w:r>
      <w:bookmarkEnd w:id="41"/>
      <w:bookmarkEnd w:id="42"/>
    </w:p>
    <w:p w14:paraId="21B6A7AB">
      <w:pPr>
        <w:pStyle w:val="7"/>
        <w:ind w:firstLine="420"/>
      </w:pPr>
      <w:r>
        <w:rPr>
          <w:rFonts w:hint="eastAsia"/>
        </w:rPr>
        <w:t>淮南市拥军门店申请表见表</w:t>
      </w:r>
      <w:r>
        <w:rPr>
          <w:rFonts w:hint="eastAsia"/>
          <w:lang w:val="en-US" w:eastAsia="zh-CN"/>
        </w:rPr>
        <w:t>B</w:t>
      </w:r>
      <w:r>
        <w:rPr>
          <w:rFonts w:hint="eastAsia"/>
        </w:rPr>
        <w:t>.</w:t>
      </w:r>
      <w:r>
        <w:t>1。</w:t>
      </w:r>
    </w:p>
    <w:p w14:paraId="3F44B3BE">
      <w:pPr>
        <w:pStyle w:val="7"/>
        <w:ind w:firstLine="420"/>
        <w:jc w:val="center"/>
        <w:rPr>
          <w:rFonts w:hint="default" w:ascii="黑体" w:hAnsi="黑体" w:eastAsia="黑体" w:cs="黑体"/>
          <w:lang w:val="en-US" w:eastAsia="zh-CN"/>
        </w:rPr>
      </w:pPr>
      <w:r>
        <w:rPr>
          <w:rFonts w:hint="eastAsia" w:ascii="黑体" w:hAnsi="黑体" w:eastAsia="黑体" w:cs="黑体"/>
          <w:lang w:val="en-US" w:eastAsia="zh-CN"/>
        </w:rPr>
        <w:t>表B.1 淮南市拥军门店申请表</w:t>
      </w:r>
    </w:p>
    <w:tbl>
      <w:tblPr>
        <w:tblStyle w:val="3"/>
        <w:tblpPr w:leftFromText="180" w:rightFromText="180" w:vertAnchor="text" w:horzAnchor="page" w:tblpX="1888" w:tblpY="24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51"/>
        <w:gridCol w:w="2149"/>
        <w:gridCol w:w="2150"/>
        <w:gridCol w:w="2149"/>
      </w:tblGrid>
      <w:tr w14:paraId="7D500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atLeast"/>
          <w:tblHeader/>
        </w:trPr>
        <w:tc>
          <w:tcPr>
            <w:tcW w:w="2151" w:type="dxa"/>
            <w:tcBorders>
              <w:top w:val="single" w:color="auto" w:sz="8" w:space="0"/>
              <w:bottom w:val="single" w:color="auto" w:sz="8" w:space="0"/>
            </w:tcBorders>
            <w:shd w:val="clear" w:color="auto" w:fill="auto"/>
            <w:vAlign w:val="center"/>
          </w:tcPr>
          <w:p w14:paraId="7EEAE6BC">
            <w:pPr>
              <w:pStyle w:val="19"/>
            </w:pPr>
            <w:r>
              <w:rPr>
                <w:rFonts w:hint="eastAsia"/>
              </w:rPr>
              <w:t>商家名称</w:t>
            </w:r>
          </w:p>
        </w:tc>
        <w:tc>
          <w:tcPr>
            <w:tcW w:w="6448" w:type="dxa"/>
            <w:gridSpan w:val="3"/>
            <w:tcBorders>
              <w:top w:val="single" w:color="auto" w:sz="8" w:space="0"/>
              <w:bottom w:val="single" w:color="auto" w:sz="8" w:space="0"/>
            </w:tcBorders>
            <w:shd w:val="clear" w:color="auto" w:fill="auto"/>
            <w:vAlign w:val="center"/>
          </w:tcPr>
          <w:p w14:paraId="787ABBBE">
            <w:pPr>
              <w:pStyle w:val="19"/>
            </w:pPr>
          </w:p>
        </w:tc>
      </w:tr>
      <w:tr w14:paraId="17482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2151" w:type="dxa"/>
            <w:tcBorders>
              <w:top w:val="single" w:color="auto" w:sz="8" w:space="0"/>
            </w:tcBorders>
            <w:shd w:val="clear" w:color="auto" w:fill="auto"/>
            <w:vAlign w:val="center"/>
          </w:tcPr>
          <w:p w14:paraId="5FAA350B">
            <w:pPr>
              <w:pStyle w:val="19"/>
            </w:pPr>
            <w:r>
              <w:rPr>
                <w:rFonts w:hint="eastAsia"/>
              </w:rPr>
              <w:t>统一社会信用代码</w:t>
            </w:r>
          </w:p>
        </w:tc>
        <w:tc>
          <w:tcPr>
            <w:tcW w:w="6448" w:type="dxa"/>
            <w:gridSpan w:val="3"/>
            <w:tcBorders>
              <w:top w:val="single" w:color="auto" w:sz="8" w:space="0"/>
            </w:tcBorders>
            <w:shd w:val="clear" w:color="auto" w:fill="auto"/>
            <w:vAlign w:val="center"/>
          </w:tcPr>
          <w:p w14:paraId="4D1C0A6D">
            <w:pPr>
              <w:pStyle w:val="19"/>
            </w:pPr>
          </w:p>
        </w:tc>
      </w:tr>
      <w:tr w14:paraId="3DEE0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2151" w:type="dxa"/>
            <w:shd w:val="clear" w:color="auto" w:fill="auto"/>
            <w:vAlign w:val="center"/>
          </w:tcPr>
          <w:p w14:paraId="15E08A35">
            <w:pPr>
              <w:pStyle w:val="19"/>
            </w:pPr>
            <w:r>
              <w:rPr>
                <w:rFonts w:hint="eastAsia"/>
              </w:rPr>
              <w:t>门店地址</w:t>
            </w:r>
          </w:p>
        </w:tc>
        <w:tc>
          <w:tcPr>
            <w:tcW w:w="6448" w:type="dxa"/>
            <w:gridSpan w:val="3"/>
            <w:shd w:val="clear" w:color="auto" w:fill="auto"/>
            <w:vAlign w:val="center"/>
          </w:tcPr>
          <w:p w14:paraId="7C5F708B">
            <w:pPr>
              <w:pStyle w:val="19"/>
            </w:pPr>
          </w:p>
        </w:tc>
      </w:tr>
      <w:tr w14:paraId="67FDD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2151" w:type="dxa"/>
            <w:shd w:val="clear" w:color="auto" w:fill="auto"/>
            <w:vAlign w:val="center"/>
          </w:tcPr>
          <w:p w14:paraId="2FDC8D28">
            <w:pPr>
              <w:pStyle w:val="19"/>
            </w:pPr>
            <w:r>
              <w:rPr>
                <w:rFonts w:hint="eastAsia"/>
              </w:rPr>
              <w:t>所属县区镇（街道）</w:t>
            </w:r>
          </w:p>
        </w:tc>
        <w:tc>
          <w:tcPr>
            <w:tcW w:w="6448" w:type="dxa"/>
            <w:gridSpan w:val="3"/>
            <w:shd w:val="clear" w:color="auto" w:fill="auto"/>
            <w:vAlign w:val="center"/>
          </w:tcPr>
          <w:p w14:paraId="2DB7312D">
            <w:pPr>
              <w:pStyle w:val="19"/>
            </w:pPr>
          </w:p>
        </w:tc>
      </w:tr>
      <w:tr w14:paraId="02E07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2151" w:type="dxa"/>
            <w:shd w:val="clear" w:color="auto" w:fill="auto"/>
            <w:vAlign w:val="center"/>
          </w:tcPr>
          <w:p w14:paraId="25A7F9D4">
            <w:pPr>
              <w:pStyle w:val="19"/>
            </w:pPr>
            <w:r>
              <w:rPr>
                <w:rFonts w:hint="eastAsia"/>
              </w:rPr>
              <w:t>法人代表</w:t>
            </w:r>
          </w:p>
        </w:tc>
        <w:tc>
          <w:tcPr>
            <w:tcW w:w="2149" w:type="dxa"/>
            <w:shd w:val="clear" w:color="auto" w:fill="auto"/>
            <w:vAlign w:val="center"/>
          </w:tcPr>
          <w:p w14:paraId="38D66ED7">
            <w:pPr>
              <w:pStyle w:val="19"/>
            </w:pPr>
          </w:p>
        </w:tc>
        <w:tc>
          <w:tcPr>
            <w:tcW w:w="2150" w:type="dxa"/>
            <w:shd w:val="clear" w:color="auto" w:fill="auto"/>
            <w:vAlign w:val="center"/>
          </w:tcPr>
          <w:p w14:paraId="637DC309">
            <w:pPr>
              <w:pStyle w:val="19"/>
            </w:pPr>
            <w:r>
              <w:rPr>
                <w:rFonts w:hint="eastAsia"/>
              </w:rPr>
              <w:t>联系方式</w:t>
            </w:r>
          </w:p>
        </w:tc>
        <w:tc>
          <w:tcPr>
            <w:tcW w:w="2149" w:type="dxa"/>
            <w:shd w:val="clear" w:color="auto" w:fill="auto"/>
            <w:vAlign w:val="center"/>
          </w:tcPr>
          <w:p w14:paraId="6FC2BAA4">
            <w:pPr>
              <w:pStyle w:val="19"/>
            </w:pPr>
          </w:p>
        </w:tc>
      </w:tr>
      <w:tr w14:paraId="04884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2151" w:type="dxa"/>
            <w:shd w:val="clear" w:color="auto" w:fill="auto"/>
            <w:vAlign w:val="center"/>
          </w:tcPr>
          <w:p w14:paraId="5222A179">
            <w:pPr>
              <w:pStyle w:val="19"/>
            </w:pPr>
            <w:r>
              <w:rPr>
                <w:rFonts w:hint="eastAsia"/>
              </w:rPr>
              <w:t>行业类型</w:t>
            </w:r>
          </w:p>
        </w:tc>
        <w:tc>
          <w:tcPr>
            <w:tcW w:w="2149" w:type="dxa"/>
            <w:shd w:val="clear" w:color="auto" w:fill="auto"/>
            <w:vAlign w:val="center"/>
          </w:tcPr>
          <w:p w14:paraId="7A77F564">
            <w:pPr>
              <w:pStyle w:val="19"/>
            </w:pPr>
          </w:p>
        </w:tc>
        <w:tc>
          <w:tcPr>
            <w:tcW w:w="2150" w:type="dxa"/>
            <w:shd w:val="clear" w:color="auto" w:fill="auto"/>
            <w:vAlign w:val="center"/>
          </w:tcPr>
          <w:p w14:paraId="4089F995">
            <w:pPr>
              <w:pStyle w:val="19"/>
            </w:pPr>
            <w:r>
              <w:rPr>
                <w:rFonts w:hint="eastAsia"/>
              </w:rPr>
              <w:t>服务热线</w:t>
            </w:r>
          </w:p>
        </w:tc>
        <w:tc>
          <w:tcPr>
            <w:tcW w:w="2149" w:type="dxa"/>
            <w:shd w:val="clear" w:color="auto" w:fill="auto"/>
            <w:vAlign w:val="center"/>
          </w:tcPr>
          <w:p w14:paraId="196F5F17">
            <w:pPr>
              <w:pStyle w:val="19"/>
            </w:pPr>
          </w:p>
        </w:tc>
      </w:tr>
      <w:tr w14:paraId="0305D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2151" w:type="dxa"/>
            <w:shd w:val="clear" w:color="auto" w:fill="auto"/>
            <w:vAlign w:val="center"/>
          </w:tcPr>
          <w:p w14:paraId="39ADCD83">
            <w:pPr>
              <w:pStyle w:val="19"/>
            </w:pPr>
            <w:r>
              <w:rPr>
                <w:rFonts w:hint="eastAsia"/>
              </w:rPr>
              <w:t>服务联系人</w:t>
            </w:r>
          </w:p>
        </w:tc>
        <w:tc>
          <w:tcPr>
            <w:tcW w:w="2149" w:type="dxa"/>
            <w:shd w:val="clear" w:color="auto" w:fill="auto"/>
            <w:vAlign w:val="center"/>
          </w:tcPr>
          <w:p w14:paraId="45175F4B">
            <w:pPr>
              <w:pStyle w:val="19"/>
            </w:pPr>
          </w:p>
        </w:tc>
        <w:tc>
          <w:tcPr>
            <w:tcW w:w="2150" w:type="dxa"/>
            <w:shd w:val="clear" w:color="auto" w:fill="auto"/>
            <w:vAlign w:val="center"/>
          </w:tcPr>
          <w:p w14:paraId="3B55F8E5">
            <w:pPr>
              <w:pStyle w:val="19"/>
            </w:pPr>
            <w:r>
              <w:rPr>
                <w:rFonts w:hint="eastAsia"/>
              </w:rPr>
              <w:t>联系方式</w:t>
            </w:r>
          </w:p>
        </w:tc>
        <w:tc>
          <w:tcPr>
            <w:tcW w:w="2149" w:type="dxa"/>
            <w:shd w:val="clear" w:color="auto" w:fill="auto"/>
            <w:vAlign w:val="center"/>
          </w:tcPr>
          <w:p w14:paraId="4E6F6706">
            <w:pPr>
              <w:pStyle w:val="19"/>
            </w:pPr>
          </w:p>
        </w:tc>
      </w:tr>
      <w:tr w14:paraId="0E150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2151" w:type="dxa"/>
            <w:shd w:val="clear" w:color="auto" w:fill="auto"/>
            <w:vAlign w:val="center"/>
          </w:tcPr>
          <w:p w14:paraId="3A63B5CF">
            <w:pPr>
              <w:pStyle w:val="19"/>
            </w:pPr>
            <w:r>
              <w:rPr>
                <w:rFonts w:hint="eastAsia"/>
              </w:rPr>
              <w:t>情况简介</w:t>
            </w:r>
          </w:p>
        </w:tc>
        <w:tc>
          <w:tcPr>
            <w:tcW w:w="6448" w:type="dxa"/>
            <w:gridSpan w:val="3"/>
            <w:shd w:val="clear" w:color="auto" w:fill="auto"/>
            <w:vAlign w:val="center"/>
          </w:tcPr>
          <w:p w14:paraId="30F5A708">
            <w:pPr>
              <w:pStyle w:val="19"/>
            </w:pPr>
          </w:p>
          <w:p w14:paraId="429E03C0">
            <w:pPr>
              <w:pStyle w:val="19"/>
            </w:pPr>
          </w:p>
          <w:p w14:paraId="4FA70004">
            <w:pPr>
              <w:pStyle w:val="19"/>
            </w:pPr>
          </w:p>
        </w:tc>
      </w:tr>
      <w:tr w14:paraId="2919C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4" w:hRule="atLeast"/>
        </w:trPr>
        <w:tc>
          <w:tcPr>
            <w:tcW w:w="2151" w:type="dxa"/>
            <w:shd w:val="clear" w:color="auto" w:fill="auto"/>
            <w:vAlign w:val="center"/>
          </w:tcPr>
          <w:p w14:paraId="77BB3F9D">
            <w:pPr>
              <w:pStyle w:val="19"/>
            </w:pPr>
            <w:r>
              <w:rPr>
                <w:rFonts w:hint="eastAsia"/>
              </w:rPr>
              <w:t>服务内容承诺</w:t>
            </w:r>
          </w:p>
        </w:tc>
        <w:tc>
          <w:tcPr>
            <w:tcW w:w="6448" w:type="dxa"/>
            <w:gridSpan w:val="3"/>
            <w:shd w:val="clear" w:color="auto" w:fill="auto"/>
            <w:vAlign w:val="center"/>
          </w:tcPr>
          <w:p w14:paraId="52BF421F">
            <w:pPr>
              <w:pStyle w:val="19"/>
            </w:pPr>
          </w:p>
          <w:p w14:paraId="24CAC9BE">
            <w:pPr>
              <w:pStyle w:val="19"/>
            </w:pPr>
            <w:r>
              <w:rPr>
                <w:rFonts w:hint="eastAsia"/>
              </w:rPr>
              <w:t>（给予优待的事项内容、承诺在普惠的基础上再进行相应的优待）</w:t>
            </w:r>
          </w:p>
          <w:p w14:paraId="262C1DA3">
            <w:pPr>
              <w:pStyle w:val="19"/>
            </w:pPr>
          </w:p>
        </w:tc>
      </w:tr>
      <w:tr w14:paraId="4936E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2151" w:type="dxa"/>
            <w:shd w:val="clear" w:color="auto" w:fill="auto"/>
            <w:vAlign w:val="center"/>
          </w:tcPr>
          <w:p w14:paraId="57849876">
            <w:pPr>
              <w:pStyle w:val="19"/>
            </w:pPr>
            <w:r>
              <w:rPr>
                <w:rFonts w:hint="eastAsia"/>
              </w:rPr>
              <w:t>服务期限</w:t>
            </w:r>
          </w:p>
        </w:tc>
        <w:tc>
          <w:tcPr>
            <w:tcW w:w="6448" w:type="dxa"/>
            <w:gridSpan w:val="3"/>
            <w:shd w:val="clear" w:color="auto" w:fill="auto"/>
            <w:vAlign w:val="center"/>
          </w:tcPr>
          <w:p w14:paraId="4B41D9C1">
            <w:pPr>
              <w:pStyle w:val="19"/>
              <w:jc w:val="center"/>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14:paraId="07E08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33" w:hRule="atLeast"/>
        </w:trPr>
        <w:tc>
          <w:tcPr>
            <w:tcW w:w="2151" w:type="dxa"/>
            <w:shd w:val="clear" w:color="auto" w:fill="auto"/>
            <w:vAlign w:val="center"/>
          </w:tcPr>
          <w:p w14:paraId="1F099492">
            <w:pPr>
              <w:pStyle w:val="19"/>
              <w:rPr>
                <w:rFonts w:hint="default" w:eastAsia="宋体"/>
                <w:lang w:val="en-US" w:eastAsia="zh-CN"/>
              </w:rPr>
            </w:pPr>
            <w:r>
              <w:rPr>
                <w:rFonts w:hint="eastAsia"/>
                <w:lang w:val="en-US" w:eastAsia="zh-CN"/>
              </w:rPr>
              <w:t>申请承诺</w:t>
            </w:r>
          </w:p>
        </w:tc>
        <w:tc>
          <w:tcPr>
            <w:tcW w:w="6448" w:type="dxa"/>
            <w:gridSpan w:val="3"/>
            <w:shd w:val="clear" w:color="auto" w:fill="auto"/>
            <w:vAlign w:val="center"/>
          </w:tcPr>
          <w:p w14:paraId="6A7C73F0">
            <w:pPr>
              <w:pStyle w:val="19"/>
              <w:ind w:firstLine="360" w:firstLineChars="200"/>
              <w:jc w:val="both"/>
            </w:pPr>
            <w:r>
              <w:rPr>
                <w:rFonts w:hint="eastAsia"/>
              </w:rPr>
              <w:t>本</w:t>
            </w:r>
            <w:r>
              <w:rPr>
                <w:rFonts w:hint="eastAsia"/>
                <w:lang w:eastAsia="zh-CN"/>
              </w:rPr>
              <w:t>店</w:t>
            </w:r>
            <w:r>
              <w:rPr>
                <w:rFonts w:hint="eastAsia"/>
              </w:rPr>
              <w:t>自愿申请加入</w:t>
            </w:r>
            <w:r>
              <w:rPr>
                <w:rFonts w:hint="eastAsia"/>
                <w:lang w:val="en-US" w:eastAsia="zh-CN"/>
              </w:rPr>
              <w:t>淮南市</w:t>
            </w:r>
            <w:r>
              <w:rPr>
                <w:rFonts w:hint="eastAsia"/>
              </w:rPr>
              <w:t>拥军门店，</w:t>
            </w:r>
            <w:r>
              <w:rPr>
                <w:rFonts w:hint="eastAsia"/>
                <w:lang w:val="en-US" w:eastAsia="zh-CN"/>
              </w:rPr>
              <w:t>自觉诚信守法经营，积极参与拥军优属活动，兑现拥军优属优待承诺</w:t>
            </w:r>
            <w:r>
              <w:rPr>
                <w:rFonts w:hint="eastAsia"/>
              </w:rPr>
              <w:t>，</w:t>
            </w:r>
            <w:r>
              <w:rPr>
                <w:rFonts w:hint="eastAsia"/>
                <w:lang w:val="en-US" w:eastAsia="zh-CN"/>
              </w:rPr>
              <w:t>提供优质服务（产品），做好拥军服务保障。</w:t>
            </w:r>
          </w:p>
          <w:p w14:paraId="4665C776">
            <w:pPr>
              <w:pStyle w:val="19"/>
              <w:jc w:val="center"/>
              <w:rPr>
                <w:rFonts w:hint="eastAsia"/>
              </w:rPr>
            </w:pPr>
          </w:p>
          <w:p w14:paraId="011539AC">
            <w:pPr>
              <w:pStyle w:val="19"/>
              <w:jc w:val="center"/>
              <w:rPr>
                <w:rFonts w:hint="eastAsia"/>
                <w:lang w:val="en-US" w:eastAsia="zh-CN"/>
              </w:rPr>
            </w:pPr>
            <w:r>
              <w:rPr>
                <w:rFonts w:hint="eastAsia"/>
                <w:lang w:val="en-US" w:eastAsia="zh-CN"/>
              </w:rPr>
              <w:t xml:space="preserve">                         申请盖章：</w:t>
            </w:r>
          </w:p>
          <w:p w14:paraId="39C32F8D">
            <w:pPr>
              <w:pStyle w:val="19"/>
              <w:jc w:val="center"/>
              <w:rPr>
                <w:rFonts w:hint="default"/>
                <w:lang w:val="en-US" w:eastAsia="zh-CN"/>
              </w:rPr>
            </w:pPr>
            <w:r>
              <w:rPr>
                <w:rFonts w:hint="eastAsia"/>
                <w:lang w:val="en-US" w:eastAsia="zh-CN"/>
              </w:rPr>
              <w:t xml:space="preserve">                                    年   月   日</w:t>
            </w:r>
          </w:p>
        </w:tc>
      </w:tr>
      <w:tr w14:paraId="3CCCC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52" w:hRule="atLeast"/>
        </w:trPr>
        <w:tc>
          <w:tcPr>
            <w:tcW w:w="2151" w:type="dxa"/>
            <w:shd w:val="clear" w:color="auto" w:fill="auto"/>
            <w:vAlign w:val="center"/>
          </w:tcPr>
          <w:p w14:paraId="546144F2">
            <w:pPr>
              <w:pStyle w:val="19"/>
              <w:rPr>
                <w:rFonts w:hint="eastAsia"/>
                <w:lang w:eastAsia="zh-CN"/>
              </w:rPr>
            </w:pPr>
            <w:r>
              <w:rPr>
                <w:rFonts w:hint="eastAsia"/>
                <w:lang w:eastAsia="zh-CN"/>
              </w:rPr>
              <w:t>县区退役军人事务部门</w:t>
            </w:r>
          </w:p>
          <w:p w14:paraId="3A6868F6">
            <w:pPr>
              <w:pStyle w:val="19"/>
              <w:rPr>
                <w:rFonts w:hint="eastAsia" w:eastAsia="宋体"/>
                <w:lang w:eastAsia="zh-CN"/>
              </w:rPr>
            </w:pPr>
            <w:r>
              <w:rPr>
                <w:rFonts w:hint="eastAsia"/>
                <w:lang w:val="en-US" w:eastAsia="zh-CN"/>
              </w:rPr>
              <w:t>审核</w:t>
            </w:r>
            <w:r>
              <w:rPr>
                <w:rFonts w:hint="eastAsia"/>
                <w:lang w:eastAsia="zh-CN"/>
              </w:rPr>
              <w:t>意见</w:t>
            </w:r>
          </w:p>
        </w:tc>
        <w:tc>
          <w:tcPr>
            <w:tcW w:w="6448" w:type="dxa"/>
            <w:gridSpan w:val="3"/>
            <w:shd w:val="clear" w:color="auto" w:fill="auto"/>
            <w:vAlign w:val="center"/>
          </w:tcPr>
          <w:p w14:paraId="6D026399">
            <w:pPr>
              <w:pStyle w:val="19"/>
              <w:ind w:firstLine="360" w:firstLineChars="200"/>
              <w:jc w:val="both"/>
              <w:rPr>
                <w:rFonts w:hint="eastAsia"/>
                <w:lang w:val="en-US" w:eastAsia="zh-CN"/>
              </w:rPr>
            </w:pPr>
            <w:r>
              <w:rPr>
                <w:rFonts w:hint="eastAsia"/>
                <w:highlight w:val="none"/>
                <w:lang w:val="en-US" w:eastAsia="zh-CN"/>
              </w:rPr>
              <w:t>按照《淮南市拥军门店服务与管理规范工作机制（试行）》要求，已会同</w:t>
            </w:r>
            <w:r>
              <w:rPr>
                <w:rFonts w:hint="eastAsia"/>
                <w:highlight w:val="none"/>
                <w:u w:val="single"/>
                <w:lang w:val="en-US" w:eastAsia="zh-CN"/>
              </w:rPr>
              <w:t xml:space="preserve"> </w:t>
            </w:r>
            <w:r>
              <w:rPr>
                <w:rFonts w:hint="eastAsia"/>
                <w:u w:val="single"/>
                <w:lang w:val="en-US" w:eastAsia="zh-CN"/>
              </w:rPr>
              <w:t xml:space="preserve">     </w:t>
            </w:r>
            <w:r>
              <w:rPr>
                <w:rFonts w:hint="eastAsia"/>
                <w:lang w:val="en-US" w:eastAsia="zh-CN"/>
              </w:rPr>
              <w:t xml:space="preserve"> 、</w:t>
            </w:r>
          </w:p>
          <w:p w14:paraId="3534583A">
            <w:pPr>
              <w:pStyle w:val="19"/>
              <w:jc w:val="both"/>
              <w:rPr>
                <w:rFonts w:hint="eastAsia"/>
                <w:lang w:val="en-US" w:eastAsia="zh-CN"/>
              </w:rPr>
            </w:pPr>
            <w:r>
              <w:rPr>
                <w:rFonts w:hint="eastAsia"/>
                <w:u w:val="single"/>
                <w:lang w:val="en-US" w:eastAsia="zh-CN"/>
              </w:rPr>
              <w:t xml:space="preserve">         </w:t>
            </w:r>
            <w:r>
              <w:rPr>
                <w:rFonts w:hint="eastAsia"/>
                <w:lang w:val="en-US" w:eastAsia="zh-CN"/>
              </w:rPr>
              <w:t>等部门完成联合审核。经审核，拟推荐为淮南市拥军门店。</w:t>
            </w:r>
          </w:p>
          <w:p w14:paraId="3E6EA7CC">
            <w:pPr>
              <w:pStyle w:val="19"/>
              <w:ind w:firstLine="1800" w:firstLineChars="1000"/>
              <w:jc w:val="both"/>
              <w:rPr>
                <w:rFonts w:hint="eastAsia"/>
                <w:lang w:val="en-US" w:eastAsia="zh-CN"/>
              </w:rPr>
            </w:pPr>
          </w:p>
          <w:p w14:paraId="316F3585">
            <w:pPr>
              <w:pStyle w:val="19"/>
              <w:ind w:firstLine="2160" w:firstLineChars="1200"/>
              <w:jc w:val="both"/>
              <w:rPr>
                <w:rFonts w:hint="eastAsia"/>
                <w:lang w:val="en-US" w:eastAsia="zh-CN"/>
              </w:rPr>
            </w:pPr>
            <w:r>
              <w:rPr>
                <w:rFonts w:hint="eastAsia"/>
                <w:lang w:val="en-US" w:eastAsia="zh-CN"/>
              </w:rPr>
              <w:t>所在县区退役军人事务局（盖章）：</w:t>
            </w:r>
          </w:p>
          <w:p w14:paraId="109243F5">
            <w:pPr>
              <w:pStyle w:val="19"/>
              <w:ind w:firstLine="3600" w:firstLineChars="2000"/>
              <w:jc w:val="both"/>
            </w:pPr>
            <w:r>
              <w:rPr>
                <w:rFonts w:hint="eastAsia"/>
              </w:rPr>
              <w:t>年    月    日</w:t>
            </w:r>
          </w:p>
        </w:tc>
      </w:tr>
      <w:tr w14:paraId="6FD4F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2151" w:type="dxa"/>
            <w:shd w:val="clear" w:color="auto" w:fill="auto"/>
            <w:vAlign w:val="center"/>
          </w:tcPr>
          <w:p w14:paraId="63270340">
            <w:pPr>
              <w:pStyle w:val="19"/>
            </w:pPr>
            <w:r>
              <w:rPr>
                <w:rFonts w:hint="eastAsia"/>
                <w:lang w:val="en-US" w:eastAsia="zh-CN"/>
              </w:rPr>
              <w:t>备注</w:t>
            </w:r>
          </w:p>
        </w:tc>
        <w:tc>
          <w:tcPr>
            <w:tcW w:w="6448" w:type="dxa"/>
            <w:gridSpan w:val="3"/>
            <w:shd w:val="clear" w:color="auto" w:fill="auto"/>
            <w:vAlign w:val="center"/>
          </w:tcPr>
          <w:p w14:paraId="6914709E">
            <w:pPr>
              <w:pStyle w:val="19"/>
              <w:jc w:val="both"/>
              <w:rPr>
                <w:rFonts w:hint="default" w:eastAsia="宋体"/>
                <w:lang w:val="en-US" w:eastAsia="zh-CN"/>
              </w:rPr>
            </w:pPr>
            <w:r>
              <w:rPr>
                <w:rFonts w:hint="eastAsia"/>
                <w:lang w:val="en-US" w:eastAsia="zh-CN"/>
              </w:rPr>
              <w:t>本表格一式三份，所在县区退役军人事务局、申请门店各一份，一份报市双拥办备案登记。</w:t>
            </w:r>
          </w:p>
        </w:tc>
      </w:tr>
    </w:tbl>
    <w:p w14:paraId="42079EE8">
      <w:pPr>
        <w:pStyle w:val="7"/>
        <w:ind w:firstLine="420"/>
      </w:pPr>
    </w:p>
    <w:p w14:paraId="2945AFD9">
      <w:pPr>
        <w:pStyle w:val="7"/>
        <w:ind w:left="0" w:leftChars="0" w:firstLine="0" w:firstLineChars="0"/>
        <w:sectPr>
          <w:pgSz w:w="11906" w:h="16838"/>
          <w:pgMar w:top="1928" w:right="1134" w:bottom="1134" w:left="1134" w:header="1418" w:footer="1134" w:gutter="284"/>
          <w:cols w:space="425" w:num="1"/>
          <w:formProt w:val="0"/>
          <w:docGrid w:type="lines" w:linePitch="312" w:charSpace="0"/>
        </w:sectPr>
      </w:pPr>
    </w:p>
    <w:p w14:paraId="0C1D7CB7">
      <w:pPr>
        <w:pStyle w:val="15"/>
        <w:rPr>
          <w:vanish w:val="0"/>
        </w:rPr>
      </w:pPr>
    </w:p>
    <w:p w14:paraId="7E749CC6">
      <w:pPr>
        <w:pStyle w:val="16"/>
        <w:rPr>
          <w:vanish w:val="0"/>
        </w:rPr>
      </w:pPr>
    </w:p>
    <w:p w14:paraId="2FF3365B">
      <w:pPr>
        <w:pStyle w:val="17"/>
        <w:spacing w:after="156"/>
      </w:pPr>
      <w:bookmarkStart w:id="43" w:name="_Toc2679"/>
      <w:r>
        <w:br w:type="textWrapping"/>
      </w:r>
      <w:bookmarkStart w:id="44" w:name="_Toc181691876"/>
      <w:r>
        <w:rPr>
          <w:rFonts w:hint="eastAsia"/>
        </w:rPr>
        <w:t>（资料性）</w:t>
      </w:r>
      <w:r>
        <w:br w:type="textWrapping"/>
      </w:r>
      <w:r>
        <w:rPr>
          <w:rFonts w:hint="eastAsia"/>
        </w:rPr>
        <w:t>淮南市拥军门店牌匾标识</w:t>
      </w:r>
      <w:bookmarkEnd w:id="43"/>
      <w:bookmarkEnd w:id="44"/>
    </w:p>
    <w:p w14:paraId="6560B815">
      <w:pPr>
        <w:pStyle w:val="7"/>
        <w:ind w:firstLine="420"/>
      </w:pPr>
      <w:r>
        <w:rPr>
          <w:rFonts w:hint="eastAsia"/>
        </w:rPr>
        <w:t>淮南市拥军门店牌匾标识可参考图</w:t>
      </w:r>
      <w:r>
        <w:rPr>
          <w:rFonts w:hint="eastAsia"/>
          <w:lang w:val="en-US" w:eastAsia="zh-CN"/>
        </w:rPr>
        <w:t>C</w:t>
      </w:r>
      <w:r>
        <w:t>.1</w:t>
      </w:r>
      <w:r>
        <w:rPr>
          <w:rFonts w:hint="eastAsia"/>
        </w:rPr>
        <w:t>。</w:t>
      </w:r>
    </w:p>
    <w:p w14:paraId="3BF0ECDC">
      <w:pPr>
        <w:pStyle w:val="7"/>
        <w:ind w:firstLine="0" w:firstLineChars="0"/>
        <w:rPr>
          <w:rFonts w:hint="eastAsia" w:eastAsia="宋体"/>
          <w:lang w:eastAsia="zh-CN"/>
        </w:rPr>
      </w:pPr>
      <w:r>
        <w:rPr>
          <w:rFonts w:hint="eastAsia" w:eastAsia="宋体"/>
          <w:lang w:eastAsia="zh-CN"/>
        </w:rPr>
        <w:drawing>
          <wp:inline distT="0" distB="0" distL="114300" distR="114300">
            <wp:extent cx="5937885" cy="4034790"/>
            <wp:effectExtent l="0" t="0" r="5715" b="3810"/>
            <wp:docPr id="6" name="图片 6" descr="图片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2.24"/>
                    <pic:cNvPicPr>
                      <a:picLocks noChangeAspect="1"/>
                    </pic:cNvPicPr>
                  </pic:nvPicPr>
                  <pic:blipFill>
                    <a:blip r:embed="rId5"/>
                    <a:stretch>
                      <a:fillRect/>
                    </a:stretch>
                  </pic:blipFill>
                  <pic:spPr>
                    <a:xfrm>
                      <a:off x="0" y="0"/>
                      <a:ext cx="5937885" cy="4034790"/>
                    </a:xfrm>
                    <a:prstGeom prst="rect">
                      <a:avLst/>
                    </a:prstGeom>
                  </pic:spPr>
                </pic:pic>
              </a:graphicData>
            </a:graphic>
          </wp:inline>
        </w:drawing>
      </w:r>
    </w:p>
    <w:p w14:paraId="3D5E5344">
      <w:pPr>
        <w:pStyle w:val="20"/>
        <w:numPr>
          <w:ilvl w:val="1"/>
          <w:numId w:val="0"/>
        </w:numPr>
        <w:spacing w:before="156" w:after="156"/>
        <w:ind w:leftChars="0"/>
        <w:jc w:val="center"/>
        <w:rPr>
          <w:rFonts w:hint="default" w:eastAsia="黑体"/>
          <w:lang w:val="en-US" w:eastAsia="zh-CN"/>
        </w:rPr>
      </w:pPr>
      <w:r>
        <w:rPr>
          <w:rFonts w:hint="eastAsia"/>
          <w:lang w:eastAsia="zh-CN"/>
        </w:rPr>
        <w:t>图</w:t>
      </w:r>
      <w:r>
        <w:rPr>
          <w:rFonts w:hint="eastAsia"/>
          <w:lang w:val="en-US" w:eastAsia="zh-CN"/>
        </w:rPr>
        <w:t xml:space="preserve">C.1 </w:t>
      </w:r>
      <w:r>
        <w:rPr>
          <w:rFonts w:hint="eastAsia"/>
        </w:rPr>
        <w:t>淮南市拥军门店牌匾标识</w:t>
      </w:r>
      <w:r>
        <w:rPr>
          <w:rFonts w:hint="eastAsia"/>
          <w:lang w:val="en-US" w:eastAsia="zh-CN"/>
        </w:rPr>
        <w:t>(两种规格</w:t>
      </w:r>
      <w:r>
        <w:rPr>
          <w:rFonts w:hint="eastAsia" w:ascii="黑体" w:hAnsi="黑体" w:eastAsia="黑体" w:cs="黑体"/>
          <w:lang w:val="en-US" w:eastAsia="zh-CN"/>
        </w:rPr>
        <w:t>：长60cm×宽40cm；长</w:t>
      </w:r>
      <w:r>
        <w:rPr>
          <w:rFonts w:hint="eastAsia" w:hAnsi="黑体" w:cs="黑体"/>
          <w:lang w:val="en-US" w:eastAsia="zh-CN"/>
        </w:rPr>
        <w:t>36</w:t>
      </w:r>
      <w:r>
        <w:rPr>
          <w:rFonts w:hint="eastAsia" w:ascii="黑体" w:hAnsi="黑体" w:eastAsia="黑体" w:cs="黑体"/>
          <w:lang w:val="en-US" w:eastAsia="zh-CN"/>
        </w:rPr>
        <w:t>cm×宽</w:t>
      </w:r>
      <w:r>
        <w:rPr>
          <w:rFonts w:hint="eastAsia" w:hAnsi="黑体" w:cs="黑体"/>
          <w:lang w:val="en-US" w:eastAsia="zh-CN"/>
        </w:rPr>
        <w:t>24</w:t>
      </w:r>
      <w:r>
        <w:rPr>
          <w:rFonts w:hint="eastAsia" w:ascii="黑体" w:hAnsi="黑体" w:eastAsia="黑体" w:cs="黑体"/>
          <w:lang w:val="en-US" w:eastAsia="zh-CN"/>
        </w:rPr>
        <w:t>cm</w:t>
      </w:r>
      <w:r>
        <w:rPr>
          <w:rFonts w:hint="eastAsia"/>
          <w:lang w:val="en-US" w:eastAsia="zh-CN"/>
        </w:rPr>
        <w:t xml:space="preserve"> )</w:t>
      </w:r>
    </w:p>
    <w:p w14:paraId="312F763F">
      <w:pPr>
        <w:pStyle w:val="7"/>
        <w:ind w:firstLine="420"/>
      </w:pPr>
    </w:p>
    <w:p w14:paraId="7E702253">
      <w:pPr>
        <w:pStyle w:val="7"/>
        <w:ind w:firstLine="420"/>
      </w:pPr>
    </w:p>
    <w:p w14:paraId="2734CC45">
      <w:pPr>
        <w:pStyle w:val="7"/>
        <w:ind w:firstLine="420"/>
      </w:pPr>
    </w:p>
    <w:p w14:paraId="154351F6">
      <w:pPr>
        <w:pStyle w:val="7"/>
        <w:ind w:firstLine="420"/>
      </w:pPr>
    </w:p>
    <w:bookmarkEnd w:id="39"/>
    <w:p w14:paraId="6B4B47AD">
      <w:pPr>
        <w:pStyle w:val="7"/>
        <w:ind w:firstLine="0" w:firstLineChars="0"/>
        <w:jc w:val="center"/>
      </w:pPr>
      <w:bookmarkStart w:id="45"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p w14:paraId="0F5B51B0"/>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1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48802D1C"/>
    <w:multiLevelType w:val="multilevel"/>
    <w:tmpl w:val="48802D1C"/>
    <w:lvl w:ilvl="0" w:tentative="0">
      <w:start w:val="1"/>
      <w:numFmt w:val="upperLetter"/>
      <w:pStyle w:val="15"/>
      <w:lvlText w:val="%1"/>
      <w:lvlJc w:val="left"/>
      <w:pPr>
        <w:ind w:left="420" w:hanging="420"/>
      </w:pPr>
      <w:rPr>
        <w:rFonts w:hint="eastAsia"/>
      </w:rPr>
    </w:lvl>
    <w:lvl w:ilvl="1" w:tentative="0">
      <w:start w:val="1"/>
      <w:numFmt w:val="decimal"/>
      <w:pStyle w:val="2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603797C"/>
    <w:multiLevelType w:val="multilevel"/>
    <w:tmpl w:val="5603797C"/>
    <w:lvl w:ilvl="0" w:tentative="0">
      <w:start w:val="1"/>
      <w:numFmt w:val="upperLetter"/>
      <w:pStyle w:val="16"/>
      <w:suff w:val="space"/>
      <w:lvlText w:val="%1"/>
      <w:lvlJc w:val="left"/>
      <w:pPr>
        <w:ind w:left="425" w:hanging="425"/>
      </w:pPr>
      <w:rPr>
        <w:rFonts w:hint="eastAsia"/>
      </w:rPr>
    </w:lvl>
    <w:lvl w:ilvl="1" w:tentative="0">
      <w:start w:val="1"/>
      <w:numFmt w:val="decimal"/>
      <w:pStyle w:val="1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pStyle w:val="17"/>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
      <w:suff w:val="nothing"/>
      <w:lvlText w:val="%1%2　"/>
      <w:lvlJc w:val="left"/>
      <w:pPr>
        <w:ind w:left="0" w:firstLine="0"/>
      </w:pPr>
      <w:rPr>
        <w:rFonts w:hint="eastAsia" w:ascii="黑体" w:eastAsia="黑体"/>
        <w:b w:val="0"/>
        <w:i w:val="0"/>
        <w:sz w:val="21"/>
      </w:rPr>
    </w:lvl>
    <w:lvl w:ilvl="2" w:tentative="0">
      <w:start w:val="1"/>
      <w:numFmt w:val="decimal"/>
      <w:pStyle w:val="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2"/>
      <w:suff w:val="nothing"/>
      <w:lvlText w:val="%1%2.%3.%4　"/>
      <w:lvlJc w:val="left"/>
      <w:pPr>
        <w:ind w:left="0" w:firstLine="0"/>
      </w:pPr>
      <w:rPr>
        <w:rFonts w:hint="eastAsia" w:ascii="黑体" w:eastAsia="黑体"/>
        <w:b w:val="0"/>
        <w:i w:val="0"/>
        <w:sz w:val="21"/>
      </w:rPr>
    </w:lvl>
    <w:lvl w:ilvl="4" w:tentative="0">
      <w:start w:val="1"/>
      <w:numFmt w:val="decimal"/>
      <w:pStyle w:val="13"/>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0"/>
  </w:num>
  <w:num w:numId="3">
    <w:abstractNumId w:val="1"/>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F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6">
    <w:name w:val="标准文件_章标题"/>
    <w:next w:val="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标准文件_术语条一"/>
    <w:basedOn w:val="9"/>
    <w:next w:val="7"/>
    <w:qFormat/>
    <w:uiPriority w:val="0"/>
  </w:style>
  <w:style w:type="paragraph" w:customStyle="1" w:styleId="9">
    <w:name w:val="标准文件_一级无标题"/>
    <w:basedOn w:val="10"/>
    <w:qFormat/>
    <w:uiPriority w:val="0"/>
    <w:pPr>
      <w:spacing w:before="0" w:beforeLines="0" w:after="0" w:afterLines="0"/>
      <w:outlineLvl w:val="9"/>
    </w:pPr>
    <w:rPr>
      <w:rFonts w:ascii="宋体" w:eastAsia="宋体"/>
    </w:rPr>
  </w:style>
  <w:style w:type="paragraph" w:customStyle="1" w:styleId="10">
    <w:name w:val="标准文件_一级条标题"/>
    <w:basedOn w:val="6"/>
    <w:next w:val="7"/>
    <w:qFormat/>
    <w:uiPriority w:val="0"/>
    <w:pPr>
      <w:numPr>
        <w:ilvl w:val="2"/>
      </w:numPr>
      <w:spacing w:before="50" w:beforeLines="50" w:after="50" w:afterLines="50"/>
      <w:outlineLvl w:val="1"/>
    </w:pPr>
  </w:style>
  <w:style w:type="paragraph" w:customStyle="1" w:styleId="11">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2">
    <w:name w:val="标准文件_二级条标题"/>
    <w:next w:val="7"/>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3">
    <w:name w:val="标准文件_三级条标题"/>
    <w:basedOn w:val="12"/>
    <w:next w:val="7"/>
    <w:qFormat/>
    <w:uiPriority w:val="0"/>
    <w:pPr>
      <w:widowControl/>
      <w:numPr>
        <w:ilvl w:val="4"/>
      </w:numPr>
      <w:outlineLvl w:val="3"/>
    </w:pPr>
  </w:style>
  <w:style w:type="paragraph" w:customStyle="1" w:styleId="14">
    <w:name w:val="标准文件_二级无标题"/>
    <w:basedOn w:val="12"/>
    <w:qFormat/>
    <w:uiPriority w:val="0"/>
    <w:pPr>
      <w:spacing w:before="0" w:beforeLines="0" w:after="0" w:afterLines="0"/>
      <w:outlineLvl w:val="9"/>
    </w:pPr>
    <w:rPr>
      <w:rFonts w:ascii="宋体" w:eastAsia="宋体"/>
    </w:rPr>
  </w:style>
  <w:style w:type="paragraph" w:customStyle="1" w:styleId="15">
    <w:name w:val="标准文件_附录图标号"/>
    <w:basedOn w:val="7"/>
    <w:next w:val="7"/>
    <w:qFormat/>
    <w:uiPriority w:val="0"/>
    <w:pPr>
      <w:numPr>
        <w:ilvl w:val="0"/>
        <w:numId w:val="3"/>
      </w:numPr>
      <w:spacing w:line="14" w:lineRule="exact"/>
      <w:ind w:firstLine="0" w:firstLineChars="0"/>
      <w:jc w:val="center"/>
    </w:pPr>
    <w:rPr>
      <w:rFonts w:ascii="黑体" w:hAnsi="黑体" w:eastAsia="黑体"/>
      <w:vanish/>
      <w:sz w:val="2"/>
      <w:szCs w:val="21"/>
    </w:rPr>
  </w:style>
  <w:style w:type="paragraph" w:customStyle="1" w:styleId="16">
    <w:name w:val="标准文件_附录表标号"/>
    <w:basedOn w:val="7"/>
    <w:next w:val="7"/>
    <w:qFormat/>
    <w:uiPriority w:val="0"/>
    <w:pPr>
      <w:numPr>
        <w:ilvl w:val="0"/>
        <w:numId w:val="4"/>
      </w:numPr>
      <w:spacing w:line="14" w:lineRule="exact"/>
      <w:ind w:firstLine="0" w:firstLineChars="0"/>
      <w:jc w:val="center"/>
    </w:pPr>
    <w:rPr>
      <w:rFonts w:eastAsia="黑体"/>
      <w:vanish/>
      <w:sz w:val="2"/>
    </w:rPr>
  </w:style>
  <w:style w:type="paragraph" w:customStyle="1" w:styleId="17">
    <w:name w:val="标准文件_附录标识"/>
    <w:next w:val="7"/>
    <w:qFormat/>
    <w:uiPriority w:val="0"/>
    <w:pPr>
      <w:numPr>
        <w:ilvl w:val="0"/>
        <w:numId w:val="5"/>
      </w:numPr>
      <w:shd w:val="clear" w:color="FFFFFF" w:fill="FFFFFF"/>
      <w:tabs>
        <w:tab w:val="left" w:pos="6406"/>
      </w:tabs>
      <w:bidi w:val="0"/>
      <w:spacing w:before="560" w:after="50" w:afterLines="50"/>
      <w:ind w:left="0" w:leftChars="0" w:firstLine="0" w:firstLineChars="0"/>
      <w:jc w:val="center"/>
      <w:outlineLvl w:val="0"/>
    </w:pPr>
    <w:rPr>
      <w:rFonts w:ascii="黑体" w:hAnsi="Times New Roman" w:eastAsia="黑体" w:cs="Times New Roman"/>
      <w:sz w:val="21"/>
      <w:lang w:val="en-US" w:eastAsia="zh-CN" w:bidi="ar-SA"/>
    </w:rPr>
  </w:style>
  <w:style w:type="paragraph" w:customStyle="1" w:styleId="18">
    <w:name w:val="标准文件_附录表标题"/>
    <w:next w:val="7"/>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9">
    <w:name w:val="标准文件_表格"/>
    <w:basedOn w:val="7"/>
    <w:qFormat/>
    <w:uiPriority w:val="0"/>
    <w:pPr>
      <w:ind w:firstLine="0" w:firstLineChars="0"/>
      <w:jc w:val="center"/>
    </w:pPr>
    <w:rPr>
      <w:sz w:val="18"/>
    </w:rPr>
  </w:style>
  <w:style w:type="paragraph" w:customStyle="1" w:styleId="20">
    <w:name w:val="标准文件_附录图标题"/>
    <w:next w:val="7"/>
    <w:qFormat/>
    <w:uiPriority w:val="0"/>
    <w:pPr>
      <w:numPr>
        <w:ilvl w:val="1"/>
        <w:numId w:val="3"/>
      </w:numPr>
      <w:adjustRightInd w:val="0"/>
      <w:snapToGrid w:val="0"/>
      <w:spacing w:before="50" w:beforeLines="50" w:after="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171573-4298-4997-8f89-cdeec25a5d58}"/>
        <w:style w:val=""/>
        <w:category>
          <w:name w:val="常规"/>
          <w:gallery w:val="placeholder"/>
        </w:category>
        <w:types>
          <w:type w:val="bbPlcHdr"/>
        </w:types>
        <w:behaviors>
          <w:behavior w:val="content"/>
        </w:behaviors>
        <w:description w:val=""/>
        <w:guid w:val="{ca171573-4298-4997-8f89-cdeec25a5d58}"/>
      </w:docPartPr>
      <w:docPartBody>
        <w:p w14:paraId="3F9E4C4A">
          <w:pPr>
            <w:pStyle w:val="2"/>
          </w:pPr>
          <w:r>
            <w:rPr>
              <w:rStyle w:val="3"/>
              <w:rFonts w:hint="eastAsia"/>
            </w:rPr>
            <w:t>单击或点击此处输入文字。</w:t>
          </w:r>
        </w:p>
      </w:docPartBody>
    </w:docPart>
    <w:docPart>
      <w:docPartPr>
        <w:name w:val="{c959a419-edf7-474f-b265-fe0a8b008e29}"/>
        <w:style w:val=""/>
        <w:category>
          <w:name w:val="常规"/>
          <w:gallery w:val="placeholder"/>
        </w:category>
        <w:types>
          <w:type w:val="bbPlcHdr"/>
        </w:types>
        <w:behaviors>
          <w:behavior w:val="content"/>
        </w:behaviors>
        <w:description w:val=""/>
        <w:guid w:val="{c959a419-edf7-474f-b265-fe0a8b008e29}"/>
      </w:docPartPr>
      <w:docPartBody>
        <w:p w14:paraId="2D6516F1">
          <w:pPr>
            <w:pStyle w:val="4"/>
          </w:pPr>
          <w:r>
            <w:rPr>
              <w:rStyle w:val="3"/>
              <w:rFonts w:hint="eastAsia"/>
            </w:rPr>
            <w:t>选择一项。</w:t>
          </w:r>
        </w:p>
      </w:docPartBody>
    </w:docPart>
    <w:docPart>
      <w:docPartPr>
        <w:name w:val="{918a5c29-9e44-4117-89e7-93330bbecdc2}"/>
        <w:style w:val=""/>
        <w:category>
          <w:name w:val="常规"/>
          <w:gallery w:val="placeholder"/>
        </w:category>
        <w:types>
          <w:type w:val="bbPlcHdr"/>
        </w:types>
        <w:behaviors>
          <w:behavior w:val="content"/>
        </w:behaviors>
        <w:description w:val=""/>
        <w:guid w:val="{918a5c29-9e44-4117-89e7-93330bbecdc2}"/>
      </w:docPartPr>
      <w:docPartBody>
        <w:p w14:paraId="26E9C412">
          <w:pPr>
            <w:pStyle w:val="5"/>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796FBD5C03E1432EBFEF6C92E1CCDFA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72F9A47D03204EDFBF51C08E7DB944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AE96499228AE4DBE9FE7736FC1FD82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2025-01-06T03:19:31Z</dcterms:created>
  <dc:creator>Administrator</dc:creator>
  <cp:lastModifiedBy>白云天</cp:lastModifiedBy>
  <dcterms:modified xsi:type="dcterms:W3CDTF">2025-01-06T03:22:14Z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eyJoZGlkIjoiN2ZmNTIwZjA3MjlmNDZjNjcwMTNmMmI5MjJiZTRlYjEiLCJ1c2VySWQiOiI1MzAwNTAxODgifQ==</vt:lpwstr>
  </property>
  <property fmtid="{D5CDD505-2E9C-101B-9397-08002B2CF9AE}" pid="4" name="ICV">
    <vt:lpwstr>8DB6384FA9FC4EFFAF0CD870EEA7BB93_12</vt:lpwstr>
  </property>
</Properties>
</file>